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8"/>
          <w:szCs w:val="28"/>
        </w:rPr>
      </w:pPr>
      <w:r>
        <w:rPr>
          <w:rFonts w:hint="eastAsia" w:ascii="宋体" w:hAnsi="宋体"/>
          <w:sz w:val="28"/>
          <w:szCs w:val="28"/>
        </w:rPr>
        <w:t>附件一：</w:t>
      </w:r>
    </w:p>
    <w:p>
      <w:pPr>
        <w:jc w:val="center"/>
        <w:rPr>
          <w:b/>
          <w:sz w:val="28"/>
          <w:szCs w:val="28"/>
        </w:rPr>
      </w:pPr>
      <w:r>
        <w:rPr>
          <w:rFonts w:hint="eastAsia" w:ascii="宋体" w:hAnsi="宋体"/>
          <w:sz w:val="28"/>
          <w:szCs w:val="28"/>
        </w:rPr>
        <w:t xml:space="preserve">    </w:t>
      </w:r>
      <w:bookmarkStart w:id="0" w:name="_GoBack"/>
      <w:r>
        <w:rPr>
          <w:rFonts w:hint="eastAsia"/>
          <w:b/>
          <w:sz w:val="28"/>
          <w:szCs w:val="28"/>
        </w:rPr>
        <w:t>衡阳市公开招聘教师“绿色通道”条件</w:t>
      </w:r>
      <w:bookmarkEnd w:id="0"/>
    </w:p>
    <w:tbl>
      <w:tblPr>
        <w:tblStyle w:val="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3551"/>
        <w:gridCol w:w="3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noWrap w:val="0"/>
            <w:vAlign w:val="top"/>
          </w:tcPr>
          <w:p>
            <w:pPr>
              <w:spacing w:line="0" w:lineRule="atLeast"/>
            </w:pPr>
            <w:r>
              <w:rPr>
                <w:rFonts w:hint="eastAsia"/>
              </w:rPr>
              <w:t>类别</w:t>
            </w:r>
          </w:p>
        </w:tc>
        <w:tc>
          <w:tcPr>
            <w:tcW w:w="3551" w:type="dxa"/>
            <w:noWrap w:val="0"/>
            <w:vAlign w:val="top"/>
          </w:tcPr>
          <w:p>
            <w:pPr>
              <w:spacing w:line="0" w:lineRule="atLeast"/>
            </w:pPr>
            <w:r>
              <w:rPr>
                <w:rFonts w:hint="eastAsia"/>
              </w:rPr>
              <w:t>条件</w:t>
            </w:r>
          </w:p>
        </w:tc>
        <w:tc>
          <w:tcPr>
            <w:tcW w:w="3253" w:type="dxa"/>
            <w:noWrap w:val="0"/>
            <w:vAlign w:val="top"/>
          </w:tcPr>
          <w:p>
            <w:pPr>
              <w:spacing w:line="0" w:lineRule="atLeast"/>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2093" w:type="dxa"/>
            <w:vMerge w:val="restart"/>
            <w:noWrap w:val="0"/>
            <w:vAlign w:val="center"/>
          </w:tcPr>
          <w:p>
            <w:pPr>
              <w:spacing w:line="0" w:lineRule="atLeast"/>
              <w:jc w:val="center"/>
              <w:rPr>
                <w:sz w:val="24"/>
                <w:szCs w:val="24"/>
              </w:rPr>
            </w:pPr>
            <w:r>
              <w:rPr>
                <w:rFonts w:hint="eastAsia"/>
                <w:sz w:val="24"/>
                <w:szCs w:val="24"/>
              </w:rPr>
              <w:t>师范院校毕业生</w:t>
            </w:r>
          </w:p>
        </w:tc>
        <w:tc>
          <w:tcPr>
            <w:tcW w:w="3551" w:type="dxa"/>
            <w:noWrap w:val="0"/>
            <w:vAlign w:val="top"/>
          </w:tcPr>
          <w:p>
            <w:pPr>
              <w:spacing w:line="0" w:lineRule="atLeast"/>
              <w:jc w:val="center"/>
              <w:rPr>
                <w:szCs w:val="21"/>
              </w:rPr>
            </w:pPr>
            <w:r>
              <w:rPr>
                <w:rFonts w:hint="eastAsia"/>
                <w:szCs w:val="21"/>
              </w:rPr>
              <w:t>1、师范院校及综合性大学师范院系普通全日制研究生学历应往届毕业生。</w:t>
            </w:r>
          </w:p>
        </w:tc>
        <w:tc>
          <w:tcPr>
            <w:tcW w:w="3253" w:type="dxa"/>
            <w:vMerge w:val="restart"/>
            <w:noWrap w:val="0"/>
            <w:vAlign w:val="top"/>
          </w:tcPr>
          <w:p>
            <w:pPr>
              <w:spacing w:line="0" w:lineRule="atLeast"/>
              <w:jc w:val="center"/>
              <w:rPr>
                <w:szCs w:val="21"/>
              </w:rPr>
            </w:pPr>
            <w:r>
              <w:rPr>
                <w:rFonts w:hint="eastAsia"/>
                <w:szCs w:val="21"/>
              </w:rPr>
              <w:t>1、优秀毕业生条件（具备其一即可）：国家、省级政府奖学金获得者；国家励志奖学金获得者；省级及以上普通高校师范生教学技能竞赛获得者；校级及以上优秀毕业生（优秀学生党员、三好学生、优秀学生干部、优秀共青团员）；大学期间获得1次校级学生年度三等及以上综合奖学金。</w:t>
            </w:r>
          </w:p>
          <w:p>
            <w:pPr>
              <w:spacing w:line="0" w:lineRule="atLeast"/>
              <w:jc w:val="center"/>
              <w:rPr>
                <w:szCs w:val="21"/>
              </w:rPr>
            </w:pPr>
            <w:r>
              <w:rPr>
                <w:rFonts w:hint="eastAsia"/>
                <w:szCs w:val="21"/>
              </w:rPr>
              <w:t>2、上述条件中赛事须为省级及以上党委、政府主办、教育行政部门主办或共同主办；奖项须为党委、政府或教育行政部门颁发。</w:t>
            </w:r>
          </w:p>
          <w:p>
            <w:pPr>
              <w:spacing w:line="0" w:lineRule="atLeast"/>
              <w:jc w:val="center"/>
              <w:rPr>
                <w:szCs w:val="21"/>
              </w:rPr>
            </w:pPr>
            <w:r>
              <w:rPr>
                <w:rFonts w:hint="eastAsia"/>
                <w:szCs w:val="21"/>
              </w:rPr>
              <w:t>3、小学、幼儿园教师岗位学历要求可放宽为普通全日制专科学历应往届毕业生，并具备下列条件之一：国家、省级政府奖学金获得者；国家励志奖学金获得者；省级及以上普通高校师范生教学技能竞赛获得者；省级及以上优秀毕业生（优秀学生党员、三好学生、优秀学生干部、优秀共青团员）；音体美舞岗位具有国家二级及以上运动员证书的符合上列条件之一的毕业生（仅限体育岗位）或具有省级及以上重大音体美舞比赛（含大学生运动会、大学生体育比赛、普通高校音乐舞蹈本科专业学生“三独”比赛、大学生艺术展演、普通高校美术与设计艺术作品评选）获奖经历的毕业生，其中体育比赛获奖者须为国家级比赛获奖者或省级比赛集体项目（限篮球、排球、足球）前3名、个人项目前6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2093" w:type="dxa"/>
            <w:vMerge w:val="continue"/>
            <w:noWrap w:val="0"/>
            <w:vAlign w:val="top"/>
          </w:tcPr>
          <w:p>
            <w:pPr>
              <w:spacing w:line="0" w:lineRule="atLeast"/>
              <w:jc w:val="center"/>
              <w:rPr>
                <w:szCs w:val="21"/>
              </w:rPr>
            </w:pPr>
          </w:p>
        </w:tc>
        <w:tc>
          <w:tcPr>
            <w:tcW w:w="3551" w:type="dxa"/>
            <w:noWrap w:val="0"/>
            <w:vAlign w:val="top"/>
          </w:tcPr>
          <w:p>
            <w:pPr>
              <w:spacing w:line="0" w:lineRule="atLeast"/>
              <w:jc w:val="center"/>
              <w:rPr>
                <w:szCs w:val="21"/>
              </w:rPr>
            </w:pPr>
            <w:r>
              <w:rPr>
                <w:rFonts w:hint="eastAsia"/>
                <w:szCs w:val="21"/>
              </w:rPr>
              <w:t>2、“双一流建设”师范院校普通全日制本科学历师范类应往届毕业生。</w:t>
            </w:r>
          </w:p>
          <w:p>
            <w:pPr>
              <w:spacing w:line="0" w:lineRule="atLeast"/>
              <w:jc w:val="center"/>
              <w:rPr>
                <w:szCs w:val="21"/>
              </w:rPr>
            </w:pPr>
          </w:p>
        </w:tc>
        <w:tc>
          <w:tcPr>
            <w:tcW w:w="3253" w:type="dxa"/>
            <w:vMerge w:val="continue"/>
            <w:noWrap w:val="0"/>
            <w:vAlign w:val="top"/>
          </w:tcPr>
          <w:p>
            <w:pPr>
              <w:spacing w:line="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2093" w:type="dxa"/>
            <w:vMerge w:val="continue"/>
            <w:noWrap w:val="0"/>
            <w:vAlign w:val="top"/>
          </w:tcPr>
          <w:p>
            <w:pPr>
              <w:spacing w:line="0" w:lineRule="atLeast"/>
              <w:jc w:val="center"/>
              <w:rPr>
                <w:szCs w:val="21"/>
              </w:rPr>
            </w:pPr>
          </w:p>
        </w:tc>
        <w:tc>
          <w:tcPr>
            <w:tcW w:w="3551" w:type="dxa"/>
            <w:noWrap w:val="0"/>
            <w:vAlign w:val="top"/>
          </w:tcPr>
          <w:p>
            <w:pPr>
              <w:spacing w:line="0" w:lineRule="atLeast"/>
              <w:jc w:val="center"/>
              <w:rPr>
                <w:szCs w:val="21"/>
              </w:rPr>
            </w:pPr>
            <w:r>
              <w:rPr>
                <w:rFonts w:hint="eastAsia"/>
                <w:szCs w:val="21"/>
              </w:rPr>
              <w:t>3、其它师范院校及综合性大学师范院系普通全日制本科学历师范类应往届毕业生。</w:t>
            </w:r>
          </w:p>
          <w:p>
            <w:pPr>
              <w:spacing w:line="0" w:lineRule="atLeast"/>
              <w:jc w:val="center"/>
              <w:rPr>
                <w:szCs w:val="21"/>
              </w:rPr>
            </w:pPr>
          </w:p>
        </w:tc>
        <w:tc>
          <w:tcPr>
            <w:tcW w:w="3253" w:type="dxa"/>
            <w:vMerge w:val="continue"/>
            <w:noWrap w:val="0"/>
            <w:vAlign w:val="top"/>
          </w:tcPr>
          <w:p>
            <w:pPr>
              <w:spacing w:line="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trPr>
        <w:tc>
          <w:tcPr>
            <w:tcW w:w="2093" w:type="dxa"/>
            <w:vMerge w:val="restart"/>
            <w:noWrap w:val="0"/>
            <w:vAlign w:val="center"/>
          </w:tcPr>
          <w:p>
            <w:pPr>
              <w:spacing w:line="0" w:lineRule="atLeast"/>
              <w:jc w:val="center"/>
              <w:rPr>
                <w:sz w:val="24"/>
                <w:szCs w:val="24"/>
              </w:rPr>
            </w:pPr>
            <w:r>
              <w:rPr>
                <w:rFonts w:hint="eastAsia"/>
                <w:sz w:val="24"/>
                <w:szCs w:val="24"/>
              </w:rPr>
              <w:t>其它院校毕业生</w:t>
            </w:r>
          </w:p>
        </w:tc>
        <w:tc>
          <w:tcPr>
            <w:tcW w:w="3551" w:type="dxa"/>
            <w:noWrap w:val="0"/>
            <w:vAlign w:val="top"/>
          </w:tcPr>
          <w:p>
            <w:pPr>
              <w:spacing w:line="0" w:lineRule="atLeast"/>
              <w:jc w:val="center"/>
              <w:rPr>
                <w:szCs w:val="21"/>
              </w:rPr>
            </w:pPr>
            <w:r>
              <w:rPr>
                <w:rFonts w:hint="eastAsia"/>
                <w:szCs w:val="21"/>
              </w:rPr>
              <w:t>1、计算机岗位或职业院校专业技能课教师岗位放宽为教育部评估合格的全国重点建设职业教育师资培养基地院校普通全日制本科及以上学历应往届毕业生或普通高校普通全日制本科及以上学历应往届毕业生。</w:t>
            </w:r>
          </w:p>
        </w:tc>
        <w:tc>
          <w:tcPr>
            <w:tcW w:w="3253" w:type="dxa"/>
            <w:vMerge w:val="continue"/>
            <w:noWrap w:val="0"/>
            <w:vAlign w:val="top"/>
          </w:tcPr>
          <w:p>
            <w:pPr>
              <w:spacing w:line="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093" w:type="dxa"/>
            <w:vMerge w:val="continue"/>
            <w:noWrap w:val="0"/>
            <w:vAlign w:val="top"/>
          </w:tcPr>
          <w:p>
            <w:pPr>
              <w:spacing w:line="0" w:lineRule="atLeast"/>
              <w:jc w:val="center"/>
              <w:rPr>
                <w:szCs w:val="21"/>
              </w:rPr>
            </w:pPr>
          </w:p>
        </w:tc>
        <w:tc>
          <w:tcPr>
            <w:tcW w:w="3551" w:type="dxa"/>
            <w:noWrap w:val="0"/>
            <w:vAlign w:val="top"/>
          </w:tcPr>
          <w:p>
            <w:pPr>
              <w:spacing w:line="0" w:lineRule="atLeast"/>
              <w:jc w:val="center"/>
              <w:rPr>
                <w:szCs w:val="21"/>
              </w:rPr>
            </w:pPr>
            <w:r>
              <w:rPr>
                <w:rFonts w:hint="eastAsia"/>
                <w:szCs w:val="21"/>
              </w:rPr>
              <w:t>2、音体美岗位放宽为音体美舞专业院校普通全日制本科及以上学历应往届优秀毕业生或具有国家二级及以上运动员证书的普通全日制本科及以上学历应往届优秀毕业生（仅限体育岗位）或具有省级及以上重大音体美舞比赛（含大学生运动会、大学生体育比赛、普通高校音乐舞蹈本科专业学生“三独”比赛、大学生艺术展演、普通高校美术与设计艺术作品评选）获奖经历的普通高校全日制本科及以上学历应往届毕业生，其中体育比赛获奖者须为国家级比赛获奖者或省级比赛集体项目（限篮球、排球、足球）前3名、个人项目前6名。</w:t>
            </w:r>
          </w:p>
        </w:tc>
        <w:tc>
          <w:tcPr>
            <w:tcW w:w="3253" w:type="dxa"/>
            <w:vMerge w:val="continue"/>
            <w:noWrap w:val="0"/>
            <w:vAlign w:val="top"/>
          </w:tcPr>
          <w:p>
            <w:pPr>
              <w:spacing w:line="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2093" w:type="dxa"/>
            <w:vMerge w:val="restart"/>
            <w:noWrap w:val="0"/>
            <w:vAlign w:val="center"/>
          </w:tcPr>
          <w:p>
            <w:pPr>
              <w:spacing w:line="0" w:lineRule="atLeast"/>
              <w:jc w:val="center"/>
              <w:rPr>
                <w:sz w:val="24"/>
                <w:szCs w:val="24"/>
              </w:rPr>
            </w:pPr>
            <w:r>
              <w:rPr>
                <w:rFonts w:hint="eastAsia"/>
                <w:sz w:val="24"/>
                <w:szCs w:val="24"/>
              </w:rPr>
              <w:t>在岗教师</w:t>
            </w:r>
          </w:p>
        </w:tc>
        <w:tc>
          <w:tcPr>
            <w:tcW w:w="3551" w:type="dxa"/>
            <w:noWrap w:val="0"/>
            <w:vAlign w:val="top"/>
          </w:tcPr>
          <w:p>
            <w:pPr>
              <w:numPr>
                <w:ilvl w:val="0"/>
                <w:numId w:val="1"/>
              </w:numPr>
              <w:spacing w:line="0" w:lineRule="atLeast"/>
              <w:jc w:val="center"/>
              <w:rPr>
                <w:szCs w:val="21"/>
              </w:rPr>
            </w:pPr>
            <w:r>
              <w:rPr>
                <w:rFonts w:hint="eastAsia"/>
                <w:szCs w:val="21"/>
              </w:rPr>
              <w:t>获得市级及以上党委、政府授予荣誉称号者；市级及以上优秀教师、优秀教育工作者、优秀班主任、金牌班主任、金牌教师、学科带头人、教学名师、教学能手、骨干教师（县以下学校放宽为县级及以上）。</w:t>
            </w:r>
          </w:p>
        </w:tc>
        <w:tc>
          <w:tcPr>
            <w:tcW w:w="3253" w:type="dxa"/>
            <w:vMerge w:val="continue"/>
            <w:noWrap w:val="0"/>
            <w:vAlign w:val="top"/>
          </w:tcPr>
          <w:p>
            <w:pPr>
              <w:spacing w:line="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093" w:type="dxa"/>
            <w:vMerge w:val="continue"/>
            <w:noWrap w:val="0"/>
            <w:vAlign w:val="top"/>
          </w:tcPr>
          <w:p>
            <w:pPr>
              <w:spacing w:line="0" w:lineRule="atLeast"/>
              <w:jc w:val="center"/>
              <w:rPr>
                <w:szCs w:val="21"/>
              </w:rPr>
            </w:pPr>
          </w:p>
        </w:tc>
        <w:tc>
          <w:tcPr>
            <w:tcW w:w="3551" w:type="dxa"/>
            <w:noWrap w:val="0"/>
            <w:vAlign w:val="top"/>
          </w:tcPr>
          <w:p>
            <w:pPr>
              <w:spacing w:line="0" w:lineRule="atLeast"/>
              <w:jc w:val="center"/>
              <w:rPr>
                <w:szCs w:val="21"/>
              </w:rPr>
            </w:pPr>
            <w:r>
              <w:rPr>
                <w:rFonts w:hint="eastAsia"/>
                <w:szCs w:val="21"/>
              </w:rPr>
              <w:t>2、高级职称（县以下学校放宽为中级职称）</w:t>
            </w:r>
          </w:p>
        </w:tc>
        <w:tc>
          <w:tcPr>
            <w:tcW w:w="3253" w:type="dxa"/>
            <w:vMerge w:val="continue"/>
            <w:noWrap w:val="0"/>
            <w:vAlign w:val="top"/>
          </w:tcPr>
          <w:p>
            <w:pPr>
              <w:spacing w:line="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093" w:type="dxa"/>
            <w:noWrap w:val="0"/>
            <w:vAlign w:val="top"/>
          </w:tcPr>
          <w:p>
            <w:pPr>
              <w:spacing w:line="0" w:lineRule="atLeast"/>
              <w:jc w:val="center"/>
              <w:rPr>
                <w:szCs w:val="21"/>
              </w:rPr>
            </w:pPr>
          </w:p>
        </w:tc>
        <w:tc>
          <w:tcPr>
            <w:tcW w:w="3551" w:type="dxa"/>
            <w:noWrap w:val="0"/>
            <w:vAlign w:val="top"/>
          </w:tcPr>
          <w:p>
            <w:pPr>
              <w:spacing w:line="0" w:lineRule="atLeast"/>
              <w:jc w:val="center"/>
              <w:rPr>
                <w:szCs w:val="21"/>
              </w:rPr>
            </w:pPr>
          </w:p>
        </w:tc>
        <w:tc>
          <w:tcPr>
            <w:tcW w:w="3253" w:type="dxa"/>
            <w:noWrap w:val="0"/>
            <w:vAlign w:val="top"/>
          </w:tcPr>
          <w:p>
            <w:pPr>
              <w:spacing w:line="0" w:lineRule="atLeast"/>
              <w:jc w:val="center"/>
              <w:rPr>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85ACA"/>
    <w:multiLevelType w:val="multilevel"/>
    <w:tmpl w:val="62385AC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2065E5"/>
    <w:rsid w:val="21321515"/>
    <w:rsid w:val="2E757F19"/>
    <w:rsid w:val="39874A4B"/>
    <w:rsid w:val="4EC05C2C"/>
    <w:rsid w:val="5A945459"/>
    <w:rsid w:val="65206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7"/>
    <w:semiHidden/>
    <w:unhideWhenUsed/>
    <w:qFormat/>
    <w:uiPriority w:val="0"/>
    <w:pPr>
      <w:keepNext/>
      <w:keepLines/>
      <w:spacing w:before="260" w:beforeLines="0" w:beforeAutospacing="0" w:after="260" w:afterLines="0" w:afterAutospacing="0" w:line="360" w:lineRule="auto"/>
      <w:jc w:val="left"/>
      <w:outlineLvl w:val="1"/>
    </w:pPr>
    <w:rPr>
      <w:rFonts w:ascii="Arial" w:hAnsi="Arial"/>
      <w:sz w:val="32"/>
    </w:rPr>
  </w:style>
  <w:style w:type="paragraph" w:styleId="3">
    <w:name w:val="heading 3"/>
    <w:basedOn w:val="1"/>
    <w:next w:val="1"/>
    <w:link w:val="6"/>
    <w:semiHidden/>
    <w:unhideWhenUsed/>
    <w:qFormat/>
    <w:uiPriority w:val="0"/>
    <w:pPr>
      <w:keepNext/>
      <w:keepLines/>
      <w:spacing w:before="260" w:beforeLines="0" w:beforeAutospacing="0" w:after="260" w:afterLines="0" w:afterAutospacing="0" w:line="360" w:lineRule="auto"/>
      <w:jc w:val="left"/>
      <w:outlineLvl w:val="2"/>
    </w:pPr>
    <w:rPr>
      <w:sz w:val="28"/>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customStyle="1" w:styleId="6">
    <w:name w:val="标题 3 Char"/>
    <w:link w:val="3"/>
    <w:uiPriority w:val="0"/>
    <w:rPr>
      <w:rFonts w:eastAsia="宋体" w:asciiTheme="minorAscii" w:hAnsiTheme="minorAscii"/>
      <w:sz w:val="28"/>
    </w:rPr>
  </w:style>
  <w:style w:type="character" w:customStyle="1" w:styleId="7">
    <w:name w:val="标题 2 Char"/>
    <w:link w:val="2"/>
    <w:qFormat/>
    <w:uiPriority w:val="0"/>
    <w:rPr>
      <w:rFonts w:ascii="Arial" w:hAnsi="Arial" w:eastAsia="宋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2019-05-15T09:23:00Z</dcterms:created>
  <dc:creator>Blue Whale</dc:creator>
  <cp:lastModifiedBy>Blue Whale</cp:lastModifiedBy>
  <dcterms:modified xsi:type="dcterms:W3CDTF">2019-05-15T09:24:34Z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