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新疆阿克苏地区乌什县20</w:t>
      </w:r>
      <w:r>
        <w:rPr>
          <w:rFonts w:hint="eastAsia" w:ascii="方正小标宋简体" w:hAnsi="方正小标宋简体" w:eastAsia="方正小标宋简体" w:cs="方正小标宋简体"/>
          <w:b w:val="0"/>
          <w:bCs/>
          <w:sz w:val="44"/>
          <w:szCs w:val="44"/>
          <w:lang w:val="en-US" w:eastAsia="zh-CN"/>
        </w:rPr>
        <w:t>20</w:t>
      </w:r>
      <w:r>
        <w:rPr>
          <w:rFonts w:hint="eastAsia" w:ascii="方正小标宋简体" w:hAnsi="方正小标宋简体" w:eastAsia="方正小标宋简体" w:cs="方正小标宋简体"/>
          <w:b w:val="0"/>
          <w:bCs/>
          <w:sz w:val="44"/>
          <w:szCs w:val="44"/>
        </w:rPr>
        <w:t>年赴</w:t>
      </w:r>
      <w:r>
        <w:rPr>
          <w:rFonts w:hint="eastAsia" w:ascii="方正小标宋简体" w:hAnsi="方正小标宋简体" w:eastAsia="方正小标宋简体" w:cs="方正小标宋简体"/>
          <w:b w:val="0"/>
          <w:bCs/>
          <w:sz w:val="44"/>
          <w:szCs w:val="44"/>
          <w:lang w:eastAsia="zh-CN"/>
        </w:rPr>
        <w:t>内地各大</w:t>
      </w:r>
      <w:r>
        <w:rPr>
          <w:rFonts w:hint="eastAsia" w:ascii="方正小标宋简体" w:hAnsi="方正小标宋简体" w:eastAsia="方正小标宋简体" w:cs="方正小标宋简体"/>
          <w:b w:val="0"/>
          <w:bCs/>
          <w:sz w:val="44"/>
          <w:szCs w:val="44"/>
        </w:rPr>
        <w:t>高校招聘教师简章</w:t>
      </w: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eastAsia" w:ascii="仿宋" w:hAnsi="仿宋" w:eastAsia="仿宋" w:cs="仿宋"/>
          <w:b/>
          <w:sz w:val="30"/>
          <w:szCs w:val="30"/>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5"/>
        <w:jc w:val="left"/>
        <w:textAlignment w:val="auto"/>
        <w:outlineLvl w:val="9"/>
        <w:rPr>
          <w:rFonts w:hint="eastAsia" w:ascii="仿宋" w:hAnsi="仿宋" w:eastAsia="仿宋" w:cs="仿宋"/>
          <w:b w:val="0"/>
          <w:bCs/>
          <w:sz w:val="32"/>
          <w:szCs w:val="32"/>
        </w:rPr>
      </w:pPr>
      <w:r>
        <w:rPr>
          <w:rFonts w:hint="eastAsia" w:ascii="仿宋_GB2312" w:hAnsi="仿宋_GB2312" w:eastAsia="仿宋_GB2312" w:cs="仿宋_GB2312"/>
          <w:b w:val="0"/>
          <w:bCs/>
          <w:sz w:val="32"/>
          <w:szCs w:val="32"/>
          <w:lang w:eastAsia="zh-CN"/>
        </w:rPr>
        <w:t>为</w:t>
      </w:r>
      <w:r>
        <w:rPr>
          <w:rFonts w:hint="eastAsia" w:ascii="仿宋_GB2312" w:hAnsi="仿宋_GB2312" w:eastAsia="仿宋_GB2312" w:cs="仿宋_GB2312"/>
          <w:b w:val="0"/>
          <w:bCs/>
          <w:sz w:val="32"/>
          <w:szCs w:val="32"/>
        </w:rPr>
        <w:t>进一步加强我县教师队伍建设，增强国语师资力量，</w:t>
      </w:r>
      <w:r>
        <w:rPr>
          <w:rFonts w:hint="eastAsia" w:ascii="仿宋_GB2312" w:hAnsi="仿宋_GB2312" w:eastAsia="仿宋_GB2312" w:cs="仿宋_GB2312"/>
          <w:b w:val="0"/>
          <w:bCs/>
          <w:sz w:val="32"/>
          <w:szCs w:val="32"/>
          <w:lang w:val="en-US" w:eastAsia="zh-CN"/>
        </w:rPr>
        <w:t>着力提升“国家通用语言文字”能力教学，优化教师队伍结构，</w:t>
      </w:r>
      <w:r>
        <w:rPr>
          <w:rFonts w:hint="eastAsia" w:ascii="仿宋_GB2312" w:hAnsi="仿宋_GB2312" w:eastAsia="仿宋_GB2312" w:cs="仿宋_GB2312"/>
          <w:b w:val="0"/>
          <w:bCs/>
          <w:sz w:val="32"/>
          <w:szCs w:val="32"/>
          <w:lang w:eastAsia="zh-CN"/>
        </w:rPr>
        <w:t>经请示乌什</w:t>
      </w:r>
      <w:r>
        <w:rPr>
          <w:rFonts w:hint="eastAsia" w:ascii="仿宋_GB2312" w:hAnsi="仿宋_GB2312" w:eastAsia="仿宋_GB2312" w:cs="仿宋_GB2312"/>
          <w:b w:val="0"/>
          <w:bCs/>
          <w:sz w:val="32"/>
          <w:szCs w:val="32"/>
          <w:lang w:val="en-US" w:eastAsia="zh-CN"/>
        </w:rPr>
        <w:t>县委、政府</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我县拟于近日</w:t>
      </w:r>
      <w:r>
        <w:rPr>
          <w:rFonts w:hint="eastAsia" w:ascii="仿宋_GB2312" w:hAnsi="仿宋_GB2312" w:eastAsia="仿宋_GB2312" w:cs="仿宋_GB2312"/>
          <w:b w:val="0"/>
          <w:bCs/>
          <w:sz w:val="32"/>
          <w:szCs w:val="32"/>
        </w:rPr>
        <w:t>赴</w:t>
      </w:r>
      <w:r>
        <w:rPr>
          <w:rFonts w:hint="eastAsia" w:ascii="仿宋_GB2312" w:hAnsi="仿宋_GB2312" w:eastAsia="仿宋_GB2312" w:cs="仿宋_GB2312"/>
          <w:b w:val="0"/>
          <w:bCs/>
          <w:sz w:val="32"/>
          <w:szCs w:val="32"/>
          <w:lang w:eastAsia="zh-CN"/>
        </w:rPr>
        <w:t>内地各省市</w:t>
      </w:r>
      <w:r>
        <w:rPr>
          <w:rFonts w:hint="eastAsia" w:ascii="仿宋_GB2312" w:hAnsi="仿宋_GB2312" w:eastAsia="仿宋_GB2312" w:cs="仿宋_GB2312"/>
          <w:b w:val="0"/>
          <w:bCs/>
          <w:sz w:val="32"/>
          <w:szCs w:val="32"/>
        </w:rPr>
        <w:t>师范类院校和综合院校</w:t>
      </w:r>
      <w:r>
        <w:rPr>
          <w:rFonts w:hint="eastAsia" w:ascii="仿宋_GB2312" w:hAnsi="仿宋_GB2312" w:eastAsia="仿宋_GB2312" w:cs="仿宋_GB2312"/>
          <w:b w:val="0"/>
          <w:bCs/>
          <w:sz w:val="32"/>
          <w:szCs w:val="32"/>
          <w:lang w:eastAsia="zh-CN"/>
        </w:rPr>
        <w:t>开展教师招录工作</w:t>
      </w:r>
      <w:r>
        <w:rPr>
          <w:rFonts w:hint="eastAsia" w:ascii="仿宋_GB2312" w:hAnsi="仿宋_GB2312" w:eastAsia="仿宋_GB2312" w:cs="仿宋_GB2312"/>
          <w:b w:val="0"/>
          <w:bCs/>
          <w:sz w:val="32"/>
          <w:szCs w:val="32"/>
        </w:rPr>
        <w:t>，特制订如下方</w:t>
      </w:r>
      <w:r>
        <w:rPr>
          <w:rFonts w:hint="eastAsia" w:ascii="仿宋" w:hAnsi="仿宋" w:eastAsia="仿宋" w:cs="仿宋"/>
          <w:b w:val="0"/>
          <w:bCs/>
          <w:sz w:val="32"/>
          <w:szCs w:val="32"/>
        </w:rPr>
        <w:t>案。</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645" w:leftChars="0" w:right="0" w:rightChars="0"/>
        <w:jc w:val="left"/>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一、乌什概况</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乌什县</w:t>
      </w:r>
      <w:r>
        <w:rPr>
          <w:rFonts w:hint="eastAsia" w:ascii="仿宋_GB2312" w:hAnsi="仿宋_GB2312" w:eastAsia="仿宋_GB2312" w:cs="仿宋_GB2312"/>
          <w:sz w:val="32"/>
          <w:szCs w:val="32"/>
        </w:rPr>
        <w:t>位于塔里木盆地西北边缘的天山南麓，东与阿克苏市相邻，南与柯坪县隔山相望，西与阿合奇县相连，北与吉尔吉斯斯坦共和国接壤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地处亚欧大陆腹地，属大陆性暖温带半干早气候区，海拔在1200-5153米之间、地形呈“两山夹一谷”的特征，山区以高牧业为主，平原以种植业和林果业为主，主产小麦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玉米、棉花、番茄</w:t>
      </w:r>
      <w:r>
        <w:rPr>
          <w:rFonts w:hint="eastAsia" w:ascii="仿宋_GB2312" w:hAnsi="仿宋_GB2312" w:eastAsia="仿宋_GB2312" w:cs="仿宋_GB2312"/>
          <w:sz w:val="32"/>
          <w:szCs w:val="32"/>
          <w:lang w:eastAsia="zh-CN"/>
        </w:rPr>
        <w:t>、鹰</w:t>
      </w:r>
      <w:r>
        <w:rPr>
          <w:rFonts w:hint="eastAsia" w:ascii="仿宋_GB2312" w:hAnsi="仿宋_GB2312" w:eastAsia="仿宋_GB2312" w:cs="仿宋_GB2312"/>
          <w:sz w:val="32"/>
          <w:szCs w:val="32"/>
        </w:rPr>
        <w:t>嘴豆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杏</w:t>
      </w:r>
      <w:r>
        <w:rPr>
          <w:rFonts w:hint="eastAsia" w:ascii="仿宋_GB2312" w:hAnsi="仿宋_GB2312" w:eastAsia="仿宋_GB2312" w:cs="仿宋_GB2312"/>
          <w:sz w:val="32"/>
          <w:szCs w:val="32"/>
          <w:lang w:eastAsia="zh-CN"/>
        </w:rPr>
        <w:t>、沙棘</w:t>
      </w:r>
      <w:r>
        <w:rPr>
          <w:rFonts w:hint="eastAsia" w:ascii="仿宋_GB2312" w:hAnsi="仿宋_GB2312" w:eastAsia="仿宋_GB2312" w:cs="仿宋_GB2312"/>
          <w:sz w:val="32"/>
          <w:szCs w:val="32"/>
        </w:rPr>
        <w:t>等，全县年均粮食播种面积30万亩左右，是自治区和地区粮食基地县之一，先后被命名为“中国</w:t>
      </w:r>
      <w:r>
        <w:rPr>
          <w:rFonts w:hint="eastAsia" w:ascii="仿宋_GB2312" w:hAnsi="仿宋_GB2312" w:eastAsia="仿宋_GB2312" w:cs="仿宋_GB2312"/>
          <w:sz w:val="32"/>
          <w:szCs w:val="32"/>
          <w:lang w:eastAsia="zh-CN"/>
        </w:rPr>
        <w:t>沙棘之乡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w:t>
      </w:r>
      <w:r>
        <w:rPr>
          <w:rFonts w:hint="eastAsia" w:ascii="仿宋_GB2312" w:hAnsi="仿宋_GB2312" w:eastAsia="仿宋_GB2312" w:cs="仿宋_GB2312"/>
          <w:sz w:val="32"/>
          <w:szCs w:val="32"/>
          <w:lang w:eastAsia="zh-CN"/>
        </w:rPr>
        <w:t>核桃之乡”“</w:t>
      </w:r>
      <w:r>
        <w:rPr>
          <w:rFonts w:hint="eastAsia" w:ascii="仿宋_GB2312" w:hAnsi="仿宋_GB2312" w:eastAsia="仿宋_GB2312" w:cs="仿宋_GB2312"/>
          <w:sz w:val="32"/>
          <w:szCs w:val="32"/>
        </w:rPr>
        <w:t>中国</w:t>
      </w:r>
      <w:r>
        <w:rPr>
          <w:rFonts w:hint="eastAsia" w:ascii="仿宋_GB2312" w:hAnsi="仿宋_GB2312" w:eastAsia="仿宋_GB2312" w:cs="仿宋_GB2312"/>
          <w:sz w:val="32"/>
          <w:szCs w:val="32"/>
          <w:lang w:eastAsia="zh-CN"/>
        </w:rPr>
        <w:t>鹰</w:t>
      </w:r>
      <w:r>
        <w:rPr>
          <w:rFonts w:hint="eastAsia" w:ascii="仿宋_GB2312" w:hAnsi="仿宋_GB2312" w:eastAsia="仿宋_GB2312" w:cs="仿宋_GB2312"/>
          <w:sz w:val="32"/>
          <w:szCs w:val="32"/>
        </w:rPr>
        <w:t>嘴豆</w:t>
      </w:r>
      <w:r>
        <w:rPr>
          <w:rFonts w:hint="eastAsia" w:ascii="仿宋_GB2312" w:hAnsi="仿宋_GB2312" w:eastAsia="仿宋_GB2312" w:cs="仿宋_GB2312"/>
          <w:sz w:val="32"/>
          <w:szCs w:val="32"/>
          <w:lang w:eastAsia="zh-CN"/>
        </w:rPr>
        <w:t>之乡”。</w:t>
      </w:r>
      <w:r>
        <w:rPr>
          <w:rFonts w:hint="eastAsia" w:ascii="仿宋_GB2312" w:hAnsi="仿宋_GB2312" w:eastAsia="仿宋_GB2312" w:cs="仿宋_GB2312"/>
          <w:sz w:val="32"/>
          <w:szCs w:val="32"/>
        </w:rPr>
        <w:t>县境内水资源丰富，托什干河贯穿全境，生态环境良好，我县被纳入“国家重点生态功能区”。乌什县历史悠久，文化底蕴深厚，为自治区历史文化名城。县城内旅游资源丰富多样，基本类型有地质景观，水城风光，文化遗址等，以燕泉山、沙棘林湿地景区为主的旅游景点多达20余</w:t>
      </w:r>
      <w:r>
        <w:rPr>
          <w:rFonts w:hint="eastAsia" w:ascii="仿宋_GB2312" w:hAnsi="仿宋_GB2312" w:eastAsia="仿宋_GB2312" w:cs="仿宋_GB2312"/>
          <w:sz w:val="32"/>
          <w:szCs w:val="32"/>
          <w:lang w:eastAsia="zh-CN"/>
        </w:rPr>
        <w:t>处</w:t>
      </w:r>
      <w:r>
        <w:rPr>
          <w:rFonts w:hint="eastAsia" w:ascii="仿宋_GB2312" w:hAnsi="仿宋_GB2312" w:eastAsia="仿宋_GB2312" w:cs="仿宋_GB2312"/>
          <w:sz w:val="32"/>
          <w:szCs w:val="32"/>
        </w:rPr>
        <w:t>，并成功跻身“国家全城旅游示范区”创建行列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县内</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金铝土等多种矿产资源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储量丰富，开发前景广阔</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645" w:leftChars="0" w:right="0" w:rightChars="0"/>
        <w:jc w:val="left"/>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二、招聘计划</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学前阶段教师计划招聘60名人，小学阶段教师计划招聘300人，中学阶段教师计划招聘200人。2020年计划赴内地招聘教师560人。</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645" w:leftChars="0" w:right="0" w:rightChars="0"/>
        <w:jc w:val="left"/>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lang w:val="en-US" w:eastAsia="zh-CN"/>
        </w:rPr>
        <w:t>招聘对象及条件</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以内地全日制师范院校、综合院校师范类专业大专、本科及以上学历毕业生，应聘人员应符合以下条件：</w:t>
      </w:r>
      <w:r>
        <w:rPr>
          <w:rFonts w:hint="eastAsia" w:ascii="仿宋_GB2312" w:hAnsi="仿宋_GB2312" w:eastAsia="仿宋_GB2312" w:cs="仿宋_GB2312"/>
          <w:b w:val="0"/>
          <w:bCs/>
          <w:sz w:val="32"/>
          <w:szCs w:val="32"/>
          <w:lang w:val="en-US" w:eastAsia="zh-CN"/>
        </w:rPr>
        <w:br w:type="textWrapping"/>
      </w:r>
      <w:r>
        <w:rPr>
          <w:rFonts w:hint="eastAsia" w:ascii="仿宋_GB2312" w:hAnsi="仿宋_GB2312" w:eastAsia="仿宋_GB2312" w:cs="仿宋_GB2312"/>
          <w:b/>
          <w:bCs w:val="0"/>
          <w:sz w:val="32"/>
          <w:szCs w:val="32"/>
          <w:lang w:val="en-US" w:eastAsia="zh-CN"/>
        </w:rPr>
        <w:t xml:space="preserve">    </w:t>
      </w:r>
      <w:r>
        <w:rPr>
          <w:rFonts w:hint="eastAsia" w:ascii="仿宋_GB2312" w:hAnsi="仿宋_GB2312" w:eastAsia="仿宋_GB2312" w:cs="仿宋_GB2312"/>
          <w:b w:val="0"/>
          <w:bCs/>
          <w:sz w:val="32"/>
          <w:szCs w:val="32"/>
          <w:lang w:val="en-US" w:eastAsia="zh-CN"/>
        </w:rPr>
        <w:t>（一）坚决拥护中国共产党的领导，思想素质好、政治觉悟高，热爱祖国、品行端正，自觉维护民族团结，遵守宪法、法律和法规，志愿从事教育工作。</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（二）身体条件：身体健康，具有良好的心理素质，具备正常履行工作职责的身体条件，无传染性疾病，无精神病史，适应教学岗位工作的需要。</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（三）已取得或2020年7月底能够正常取得毕业证、学位证。</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jc w:val="left"/>
        <w:textAlignment w:val="auto"/>
        <w:outlineLvl w:val="9"/>
        <w:rPr>
          <w:rFonts w:hint="eastAsia" w:ascii="仿宋" w:hAnsi="仿宋" w:eastAsia="仿宋" w:cs="仿宋"/>
          <w:b/>
          <w:bCs w:val="0"/>
          <w:sz w:val="32"/>
          <w:szCs w:val="32"/>
          <w:lang w:val="en-US" w:eastAsia="zh-CN"/>
        </w:rPr>
      </w:pPr>
      <w:r>
        <w:rPr>
          <w:rFonts w:hint="eastAsia" w:ascii="仿宋_GB2312" w:hAnsi="仿宋_GB2312" w:eastAsia="仿宋_GB2312" w:cs="仿宋_GB2312"/>
          <w:b/>
          <w:bCs w:val="0"/>
          <w:sz w:val="32"/>
          <w:szCs w:val="32"/>
          <w:lang w:val="en-US" w:eastAsia="zh-CN"/>
        </w:rPr>
        <w:t>（四）符合以下岗位招聘条件：</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1.年龄在32周岁及以下(1988年1月1日及以后出生)。</w:t>
      </w:r>
      <w:r>
        <w:rPr>
          <w:rFonts w:hint="eastAsia" w:ascii="仿宋_GB2312" w:hAnsi="仿宋_GB2312" w:eastAsia="仿宋_GB2312" w:cs="仿宋_GB2312"/>
          <w:b w:val="0"/>
          <w:bCs/>
          <w:sz w:val="32"/>
          <w:szCs w:val="32"/>
          <w:lang w:val="en-US" w:eastAsia="zh-CN"/>
        </w:rPr>
        <w:br w:type="textWrapping"/>
      </w:r>
      <w:r>
        <w:rPr>
          <w:rFonts w:hint="eastAsia" w:ascii="仿宋_GB2312" w:hAnsi="仿宋_GB2312" w:eastAsia="仿宋_GB2312" w:cs="仿宋_GB2312"/>
          <w:b w:val="0"/>
          <w:bCs/>
          <w:sz w:val="32"/>
          <w:szCs w:val="32"/>
          <w:lang w:val="en-US" w:eastAsia="zh-CN"/>
        </w:rPr>
        <w:t xml:space="preserve">    2.专业要求：详见《2019年新疆维吾尔自治区中小学教师招聘考试专业参考目录》。</w:t>
      </w:r>
      <w:r>
        <w:rPr>
          <w:rFonts w:hint="eastAsia" w:ascii="仿宋_GB2312" w:hAnsi="仿宋_GB2312" w:eastAsia="仿宋_GB2312" w:cs="仿宋_GB2312"/>
          <w:b w:val="0"/>
          <w:bCs/>
          <w:sz w:val="32"/>
          <w:szCs w:val="32"/>
          <w:lang w:val="en-US" w:eastAsia="zh-CN"/>
        </w:rPr>
        <w:br w:type="textWrapping"/>
      </w:r>
      <w:r>
        <w:rPr>
          <w:rFonts w:hint="eastAsia" w:ascii="仿宋_GB2312" w:hAnsi="仿宋_GB2312" w:eastAsia="仿宋_GB2312" w:cs="仿宋_GB2312"/>
          <w:b w:val="0"/>
          <w:bCs/>
          <w:sz w:val="32"/>
          <w:szCs w:val="32"/>
          <w:lang w:val="en-US" w:eastAsia="zh-CN"/>
        </w:rPr>
        <w:t xml:space="preserve">    3.学历要求：</w:t>
      </w:r>
      <w:r>
        <w:rPr>
          <w:rFonts w:hint="eastAsia" w:ascii="仿宋_GB2312" w:hAnsi="仿宋_GB2312" w:eastAsia="仿宋_GB2312" w:cs="仿宋_GB2312"/>
          <w:b w:val="0"/>
          <w:bCs/>
          <w:sz w:val="32"/>
          <w:szCs w:val="32"/>
          <w:lang w:val="en-US" w:eastAsia="zh-CN"/>
        </w:rPr>
        <w:br w:type="textWrapping"/>
      </w:r>
      <w:r>
        <w:rPr>
          <w:rFonts w:hint="eastAsia" w:ascii="仿宋_GB2312" w:hAnsi="仿宋_GB2312" w:eastAsia="仿宋_GB2312" w:cs="仿宋_GB2312"/>
          <w:b w:val="0"/>
          <w:bCs/>
          <w:sz w:val="32"/>
          <w:szCs w:val="32"/>
          <w:lang w:val="en-US" w:eastAsia="zh-CN"/>
        </w:rPr>
        <w:t xml:space="preserve">    ①学前阶段要求全日制大专及以上学历师范类专业。  </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②小学阶段学校要求全日制大专及以上学历师范类专业。</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③初中、高中阶段要求全日制本科及以上学历师范类专业。</w:t>
      </w:r>
      <w:r>
        <w:rPr>
          <w:rFonts w:hint="eastAsia" w:ascii="仿宋_GB2312" w:hAnsi="仿宋_GB2312" w:eastAsia="仿宋_GB2312" w:cs="仿宋_GB2312"/>
          <w:b w:val="0"/>
          <w:bCs/>
          <w:sz w:val="32"/>
          <w:szCs w:val="32"/>
          <w:lang w:val="en-US" w:eastAsia="zh-CN"/>
        </w:rPr>
        <w:br w:type="textWrapping"/>
      </w:r>
      <w:r>
        <w:rPr>
          <w:rFonts w:hint="eastAsia" w:ascii="仿宋_GB2312" w:hAnsi="仿宋_GB2312" w:eastAsia="仿宋_GB2312" w:cs="仿宋_GB2312"/>
          <w:b w:val="0"/>
          <w:bCs/>
          <w:sz w:val="32"/>
          <w:szCs w:val="32"/>
          <w:lang w:val="en-US" w:eastAsia="zh-CN"/>
        </w:rPr>
        <w:t xml:space="preserve">    4.普通话水平要求：语文学科教师，普通话水平必须达到二级甲等及以上，其他学科教师，普通话水平须达到二级乙等及以上。</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5.教师资格要求：应聘者须具备招聘岗位要求的相应层次教师资格证书或教师资格认定条件，如无法提供报考岗位要求的相应层次教师资格证书，则须上岗2年内必须取得相应层次教师资格证，如不能取得，按解聘处理。</w:t>
      </w:r>
      <w:r>
        <w:rPr>
          <w:rFonts w:hint="eastAsia" w:ascii="仿宋_GB2312" w:hAnsi="仿宋_GB2312" w:eastAsia="仿宋_GB2312" w:cs="仿宋_GB2312"/>
          <w:b w:val="0"/>
          <w:bCs/>
          <w:sz w:val="32"/>
          <w:szCs w:val="32"/>
          <w:lang w:val="en-US" w:eastAsia="zh-CN"/>
        </w:rPr>
        <w:br w:type="textWrapping"/>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bCs w:val="0"/>
          <w:sz w:val="32"/>
          <w:szCs w:val="32"/>
          <w:lang w:val="en-US" w:eastAsia="zh-CN"/>
        </w:rPr>
        <w:t>（五）有以下情形之一的人员，不得招入：</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1.因挂科、违反校纪校规等不能正常取得毕业证的毕业生。</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2.自治区中小学校、幼儿园在职在编教师（含三年服务期未满特岗教师）及办理完辞职手续不到一年的教师。</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3.近三年来，在公务员、教师等招考过程中有作弊、弄虚作假等行为的人员。</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4.受行政处分尚未解除的人员；曾因犯罪受过刑事处罚，或被开除公职，以及法律规定不得录用为教师的其他情形的人员。</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645" w:leftChars="0" w:right="0" w:rightChars="0"/>
        <w:jc w:val="left"/>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四、招聘工作流程及要求</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jc w:val="left"/>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（一）招聘方式及要求</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1.本次招聘我县教科局派专项招聘组赴内地各省市高校召开现场招聘会，应聘人员可网上投递简历或加招聘QQ群获知信息，届时参加现场招聘会并当场面试签约。</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简历投递邮箱：</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Wsxszb24975@163.com，高老师</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2.现场招聘环节：乌什县教育和科技局招聘组作专题宣讲，解读教师工资待遇及招聘政策；应聘教师投简历，现场面试、现场签约。</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3.应聘者须携带：应届生须携带三方就业协议书，个人简历1份，个人照片5张（蓝底1寸免冠照片）。往届生须携带本人毕业证、学位证原件、个人简历1份，个人照片5张（蓝底1寸免冠照片）。</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jc w:val="left"/>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（二）录用要求</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资格审查。资格审查时应聘人员应提交政审表、个人简历及相关证书原件，应聘人员需对提供信息的真实性负责。如有隐瞒情况或提供虚假材料，一经查实，取消应聘资格。2020年应届毕业生学历及学位必须与2020年7月31日前取得。</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5"/>
        <w:jc w:val="left"/>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b w:val="0"/>
          <w:bCs/>
          <w:sz w:val="32"/>
          <w:szCs w:val="32"/>
          <w:lang w:val="en-US" w:eastAsia="zh-CN"/>
        </w:rPr>
        <w:t>2.入编要求。</w:t>
      </w:r>
      <w:r>
        <w:rPr>
          <w:rFonts w:hint="eastAsia" w:ascii="仿宋_GB2312" w:hAnsi="仿宋_GB2312" w:eastAsia="仿宋_GB2312" w:cs="仿宋_GB2312"/>
          <w:sz w:val="32"/>
          <w:szCs w:val="32"/>
          <w:lang w:eastAsia="zh-CN"/>
        </w:rPr>
        <w:t>招聘人员</w:t>
      </w:r>
      <w:r>
        <w:rPr>
          <w:rFonts w:hint="eastAsia" w:ascii="仿宋_GB2312" w:hAnsi="仿宋_GB2312" w:eastAsia="仿宋_GB2312" w:cs="仿宋_GB2312"/>
          <w:b w:val="0"/>
          <w:bCs w:val="0"/>
          <w:sz w:val="32"/>
          <w:szCs w:val="32"/>
          <w:lang w:eastAsia="zh-CN"/>
        </w:rPr>
        <w:t>需</w:t>
      </w:r>
      <w:r>
        <w:rPr>
          <w:rFonts w:hint="eastAsia" w:ascii="仿宋_GB2312" w:hAnsi="仿宋_GB2312" w:eastAsia="仿宋_GB2312" w:cs="仿宋_GB2312"/>
          <w:sz w:val="32"/>
          <w:szCs w:val="32"/>
        </w:rPr>
        <w:t>参加20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年新疆维吾尔自治区面向社会公开招聘教师报名、资格审查、</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面试、体检等，待正式录取后，与用人单位签订聘用合同，确立聘用关系并统一</w:t>
      </w:r>
      <w:r>
        <w:rPr>
          <w:rFonts w:hint="eastAsia" w:ascii="仿宋_GB2312" w:hAnsi="仿宋_GB2312" w:eastAsia="仿宋_GB2312" w:cs="仿宋_GB2312"/>
          <w:sz w:val="32"/>
          <w:szCs w:val="32"/>
          <w:lang w:eastAsia="zh-CN"/>
        </w:rPr>
        <w:t>纳入自治区特岗教师序列，</w:t>
      </w:r>
      <w:r>
        <w:rPr>
          <w:rFonts w:hint="eastAsia" w:ascii="仿宋_GB2312" w:hAnsi="仿宋_GB2312" w:eastAsia="仿宋_GB2312" w:cs="仿宋_GB2312"/>
          <w:sz w:val="32"/>
          <w:szCs w:val="32"/>
          <w:lang w:val="en-US" w:eastAsia="zh-CN"/>
        </w:rPr>
        <w:t>3年后自动入编。</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jc w:val="left"/>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（三）解聘</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eastAsia="zh-CN"/>
        </w:rPr>
        <w:t>如已签订意向协议人员未被自治区特岗教师统一录取，可在参加工作</w:t>
      </w:r>
      <w:r>
        <w:rPr>
          <w:rFonts w:hint="eastAsia" w:ascii="仿宋_GB2312" w:hAnsi="仿宋_GB2312" w:eastAsia="仿宋_GB2312" w:cs="仿宋_GB2312"/>
          <w:sz w:val="32"/>
          <w:szCs w:val="32"/>
          <w:lang w:val="en-US" w:eastAsia="zh-CN"/>
        </w:rPr>
        <w:t>2年内享有与在编教师同等工资待遇，但须自参加工作起3年内考取编制，否则予以解聘。</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五、工资</w:t>
      </w:r>
      <w:r>
        <w:rPr>
          <w:rFonts w:hint="eastAsia" w:ascii="黑体" w:hAnsi="黑体" w:eastAsia="黑体" w:cs="黑体"/>
          <w:b w:val="0"/>
          <w:bCs/>
          <w:sz w:val="32"/>
          <w:szCs w:val="32"/>
        </w:rPr>
        <w:t>待遇</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val="0"/>
          <w:sz w:val="32"/>
          <w:szCs w:val="32"/>
          <w:lang w:val="en-US" w:eastAsia="zh-CN"/>
        </w:rPr>
        <w:t>（一）工资待遇：</w:t>
      </w:r>
      <w:r>
        <w:rPr>
          <w:rFonts w:hint="eastAsia" w:ascii="仿宋_GB2312" w:hAnsi="仿宋_GB2312" w:eastAsia="仿宋_GB2312" w:cs="仿宋_GB2312"/>
          <w:sz w:val="32"/>
          <w:szCs w:val="32"/>
          <w:lang w:val="en-US" w:eastAsia="zh-CN"/>
        </w:rPr>
        <w:t>乌什县事业单位工资由工资+绩效+五险一金（医疗、养老、住房公积金）等组成。</w:t>
      </w:r>
    </w:p>
    <w:p>
      <w:pPr>
        <w:keepNext w:val="0"/>
        <w:keepLines w:val="0"/>
        <w:pageBreakBefore w:val="0"/>
        <w:widowControl w:val="0"/>
        <w:kinsoku/>
        <w:wordWrap w:val="0"/>
        <w:overflowPunct/>
        <w:topLinePunct w:val="0"/>
        <w:autoSpaceDE/>
        <w:autoSpaceDN/>
        <w:bidi w:val="0"/>
        <w:adjustRightInd/>
        <w:snapToGrid/>
        <w:spacing w:line="600" w:lineRule="exact"/>
        <w:ind w:left="6782" w:leftChars="304" w:right="0" w:rightChars="0" w:hanging="6144" w:hangingChars="1700"/>
        <w:textAlignment w:val="auto"/>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6"/>
          <w:szCs w:val="24"/>
        </w:rPr>
        <mc:AlternateContent>
          <mc:Choice Requires="wps">
            <w:drawing>
              <wp:anchor distT="0" distB="0" distL="114300" distR="114300" simplePos="0" relativeHeight="251680768" behindDoc="0" locked="0" layoutInCell="1" allowOverlap="1">
                <wp:simplePos x="0" y="0"/>
                <wp:positionH relativeFrom="column">
                  <wp:posOffset>1537970</wp:posOffset>
                </wp:positionH>
                <wp:positionV relativeFrom="paragraph">
                  <wp:posOffset>313690</wp:posOffset>
                </wp:positionV>
                <wp:extent cx="4445" cy="325120"/>
                <wp:effectExtent l="48260" t="0" r="61595" b="17780"/>
                <wp:wrapNone/>
                <wp:docPr id="14" name="直接箭头连接符 14"/>
                <wp:cNvGraphicFramePr/>
                <a:graphic xmlns:a="http://schemas.openxmlformats.org/drawingml/2006/main">
                  <a:graphicData uri="http://schemas.microsoft.com/office/word/2010/wordprocessingShape">
                    <wps:wsp>
                      <wps:cNvCnPr/>
                      <wps:spPr>
                        <a:xfrm flipH="1">
                          <a:off x="3995420" y="8362315"/>
                          <a:ext cx="4445" cy="3251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21.1pt;margin-top:24.7pt;height:25.6pt;width:0.35pt;z-index:251680768;mso-width-relative:page;mso-height-relative:page;" filled="f" stroked="t" coordsize="21600,21600" o:gfxdata="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ylcfNYAAAAKAQAADwAAAAAA&#10;AAABACAAAAAiAAAAZHJzL2Rvd25yZXYueG1sUEsBAhQAFAAAAAgAh07iQOnSbiQVAgAA3gMAAA4A&#10;AAAAAAAAAQAgAAAAJQEAAGRycy9lMm9Eb2MueG1sUEsFBgAAAAAGAAYAWQEAAKwFAAAAAA==&#10;">
                <v:fill on="f" focussize="0,0"/>
                <v:stroke color="#000000 [3200]" joinstyle="round" endarrow="open"/>
                <v:imagedata o:title=""/>
                <o:lock v:ext="edit" aspectratio="f"/>
              </v:shape>
            </w:pict>
          </mc:Fallback>
        </mc:AlternateContent>
      </w:r>
      <w:r>
        <w:rPr>
          <w:rFonts w:hint="eastAsia" w:ascii="仿宋_GB2312" w:hAnsi="仿宋_GB2312" w:eastAsia="仿宋_GB2312" w:cs="仿宋_GB2312"/>
          <w:b/>
          <w:bCs/>
          <w:sz w:val="36"/>
          <w:szCs w:val="24"/>
        </w:rPr>
        <mc:AlternateContent>
          <mc:Choice Requires="wps">
            <w:drawing>
              <wp:anchor distT="0" distB="0" distL="114300" distR="114300" simplePos="0" relativeHeight="251681792" behindDoc="0" locked="0" layoutInCell="1" allowOverlap="1">
                <wp:simplePos x="0" y="0"/>
                <wp:positionH relativeFrom="column">
                  <wp:posOffset>1085850</wp:posOffset>
                </wp:positionH>
                <wp:positionV relativeFrom="paragraph">
                  <wp:posOffset>638810</wp:posOffset>
                </wp:positionV>
                <wp:extent cx="1018540" cy="275590"/>
                <wp:effectExtent l="5080" t="4445" r="5080" b="5715"/>
                <wp:wrapNone/>
                <wp:docPr id="15" name="文本框 15"/>
                <wp:cNvGraphicFramePr/>
                <a:graphic xmlns:a="http://schemas.openxmlformats.org/drawingml/2006/main">
                  <a:graphicData uri="http://schemas.microsoft.com/office/word/2010/wordprocessingShape">
                    <wps:wsp>
                      <wps:cNvSpPr txBox="1"/>
                      <wps:spPr>
                        <a:xfrm>
                          <a:off x="3742690" y="2705735"/>
                          <a:ext cx="1018540" cy="2755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rPr>
                                <w:sz w:val="21"/>
                                <w:szCs w:val="22"/>
                              </w:rPr>
                            </w:pPr>
                            <w:r>
                              <w:rPr>
                                <w:rFonts w:hint="eastAsia" w:ascii="仿宋_GB2312" w:hAnsi="仿宋" w:eastAsia="仿宋_GB2312" w:cs="仿宋"/>
                                <w:b w:val="0"/>
                                <w:bCs w:val="0"/>
                                <w:sz w:val="21"/>
                                <w:szCs w:val="21"/>
                                <w:lang w:val="en-US" w:eastAsia="zh-CN"/>
                              </w:rPr>
                              <w:t>打入个人工资卡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5pt;margin-top:50.3pt;height:21.7pt;width:80.2pt;z-index:251681792;mso-width-relative:page;mso-height-relative:page;" fillcolor="#FFFFFF [3201]" filled="t" stroked="t" coordsize="21600,21600" o:gfxdata="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PQ69E1QAAAAsBAAAPAAAAAAAAAAEAIAAA&#10;ACIAAABkcnMvZG93bnJldi54bWxQSwECFAAUAAAACACHTuJAgPgqwkgCAAB3BAAADgAAAAAAAAAB&#10;ACAAAAAkAQAAZHJzL2Uyb0RvYy54bWxQSwUGAAAAAAYABgBZAQAA3g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sz w:val="21"/>
                          <w:szCs w:val="22"/>
                        </w:rPr>
                      </w:pPr>
                      <w:r>
                        <w:rPr>
                          <w:rFonts w:hint="eastAsia" w:ascii="仿宋_GB2312" w:hAnsi="仿宋" w:eastAsia="仿宋_GB2312" w:cs="仿宋"/>
                          <w:b w:val="0"/>
                          <w:bCs w:val="0"/>
                          <w:sz w:val="21"/>
                          <w:szCs w:val="21"/>
                          <w:lang w:val="en-US" w:eastAsia="zh-CN"/>
                        </w:rPr>
                        <w:t>打入个人工资卡</w:t>
                      </w:r>
                    </w:p>
                  </w:txbxContent>
                </v:textbox>
              </v:shape>
            </w:pict>
          </mc:Fallback>
        </mc:AlternateContent>
      </w:r>
      <w:r>
        <w:rPr>
          <w:rFonts w:hint="eastAsia" w:ascii="仿宋_GB2312" w:hAnsi="仿宋_GB2312" w:eastAsia="仿宋_GB2312" w:cs="仿宋_GB2312"/>
          <w:b/>
          <w:bCs/>
          <w:sz w:val="36"/>
          <w:szCs w:val="24"/>
        </w:rPr>
        <mc:AlternateContent>
          <mc:Choice Requires="wps">
            <w:drawing>
              <wp:anchor distT="0" distB="0" distL="114300" distR="114300" simplePos="0" relativeHeight="251682816" behindDoc="0" locked="0" layoutInCell="1" allowOverlap="1">
                <wp:simplePos x="0" y="0"/>
                <wp:positionH relativeFrom="column">
                  <wp:posOffset>2662555</wp:posOffset>
                </wp:positionH>
                <wp:positionV relativeFrom="paragraph">
                  <wp:posOffset>613410</wp:posOffset>
                </wp:positionV>
                <wp:extent cx="2276475" cy="468630"/>
                <wp:effectExtent l="4445" t="4445" r="5080" b="22225"/>
                <wp:wrapNone/>
                <wp:docPr id="16" name="文本框 16"/>
                <wp:cNvGraphicFramePr/>
                <a:graphic xmlns:a="http://schemas.openxmlformats.org/drawingml/2006/main">
                  <a:graphicData uri="http://schemas.microsoft.com/office/word/2010/wordprocessingShape">
                    <wps:wsp>
                      <wps:cNvSpPr txBox="1"/>
                      <wps:spPr>
                        <a:xfrm>
                          <a:off x="3456940" y="2839085"/>
                          <a:ext cx="2276475" cy="4686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val="0"/>
                              <w:overflowPunct/>
                              <w:topLinePunct w:val="0"/>
                              <w:autoSpaceDE/>
                              <w:autoSpaceDN/>
                              <w:bidi w:val="0"/>
                              <w:adjustRightInd/>
                              <w:snapToGrid/>
                              <w:spacing w:line="120" w:lineRule="auto"/>
                              <w:ind w:right="0" w:rightChars="0" w:firstLine="0" w:firstLineChars="0"/>
                              <w:jc w:val="center"/>
                              <w:textAlignment w:val="auto"/>
                              <w:outlineLvl w:val="9"/>
                              <w:rPr>
                                <w:rFonts w:hint="eastAsia" w:ascii="仿宋_GB2312" w:hAnsi="仿宋" w:eastAsia="仿宋_GB2312" w:cs="仿宋"/>
                                <w:b w:val="0"/>
                                <w:bCs w:val="0"/>
                                <w:sz w:val="21"/>
                                <w:szCs w:val="21"/>
                                <w:lang w:val="en-US" w:eastAsia="zh-CN"/>
                              </w:rPr>
                            </w:pPr>
                            <w:r>
                              <w:rPr>
                                <w:rFonts w:hint="eastAsia" w:ascii="仿宋_GB2312" w:hAnsi="仿宋" w:eastAsia="仿宋_GB2312" w:cs="仿宋"/>
                                <w:b w:val="0"/>
                                <w:bCs w:val="0"/>
                                <w:i/>
                                <w:iCs/>
                                <w:sz w:val="21"/>
                                <w:szCs w:val="21"/>
                                <w:lang w:val="en-US" w:eastAsia="zh-CN"/>
                              </w:rPr>
                              <w:t>存入</w:t>
                            </w:r>
                            <w:r>
                              <w:rPr>
                                <w:rFonts w:hint="eastAsia" w:ascii="仿宋_GB2312" w:hAnsi="仿宋" w:eastAsia="仿宋_GB2312" w:cs="仿宋"/>
                                <w:b w:val="0"/>
                                <w:bCs w:val="0"/>
                                <w:sz w:val="21"/>
                                <w:szCs w:val="21"/>
                                <w:lang w:val="en-US" w:eastAsia="zh-CN"/>
                              </w:rPr>
                              <w:t>个人社保、住房公积金账户</w:t>
                            </w:r>
                          </w:p>
                          <w:p>
                            <w:pPr>
                              <w:keepNext w:val="0"/>
                              <w:keepLines w:val="0"/>
                              <w:pageBreakBefore w:val="0"/>
                              <w:widowControl w:val="0"/>
                              <w:kinsoku/>
                              <w:wordWrap w:val="0"/>
                              <w:overflowPunct/>
                              <w:topLinePunct w:val="0"/>
                              <w:autoSpaceDE/>
                              <w:autoSpaceDN/>
                              <w:bidi w:val="0"/>
                              <w:adjustRightInd/>
                              <w:snapToGrid/>
                              <w:spacing w:line="120" w:lineRule="auto"/>
                              <w:ind w:right="0" w:rightChars="0" w:firstLine="0" w:firstLineChars="0"/>
                              <w:jc w:val="both"/>
                              <w:textAlignment w:val="auto"/>
                              <w:outlineLvl w:val="9"/>
                              <w:rPr>
                                <w:rFonts w:hint="eastAsia" w:ascii="仿宋_GB2312" w:hAnsi="仿宋" w:eastAsia="仿宋_GB2312" w:cs="仿宋"/>
                                <w:b w:val="0"/>
                                <w:bCs w:val="0"/>
                                <w:sz w:val="21"/>
                                <w:szCs w:val="21"/>
                                <w:lang w:val="en-US" w:eastAsia="zh-CN"/>
                              </w:rPr>
                            </w:pPr>
                            <w:r>
                              <w:rPr>
                                <w:rFonts w:hint="eastAsia" w:ascii="仿宋_GB2312" w:hAnsi="仿宋" w:eastAsia="仿宋_GB2312" w:cs="仿宋"/>
                                <w:b w:val="0"/>
                                <w:bCs w:val="0"/>
                                <w:sz w:val="21"/>
                                <w:szCs w:val="21"/>
                                <w:lang w:val="en-US" w:eastAsia="zh-CN"/>
                              </w:rPr>
                              <w:t>（社保、住房公积金不得随意提取）</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5460" w:firstLineChars="2600"/>
                              <w:jc w:val="left"/>
                              <w:textAlignment w:val="auto"/>
                              <w:outlineLvl w:val="9"/>
                              <w:rPr>
                                <w:rFonts w:hint="eastAsia" w:ascii="仿宋_GB2312" w:hAnsi="仿宋" w:eastAsia="仿宋_GB2312" w:cs="仿宋"/>
                                <w:b w:val="0"/>
                                <w:bCs w:val="0"/>
                                <w:sz w:val="21"/>
                                <w:szCs w:val="21"/>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5460" w:firstLineChars="2600"/>
                              <w:jc w:val="left"/>
                              <w:textAlignment w:val="auto"/>
                              <w:outlineLvl w:val="9"/>
                              <w:rPr>
                                <w:rFonts w:hint="eastAsia" w:ascii="仿宋_GB2312" w:hAnsi="仿宋" w:eastAsia="仿宋_GB2312" w:cs="仿宋"/>
                                <w:b w:val="0"/>
                                <w:bCs w:val="0"/>
                                <w:sz w:val="21"/>
                                <w:szCs w:val="21"/>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48.3pt;height:36.9pt;width:179.25pt;z-index:251682816;mso-width-relative:page;mso-height-relative:page;" fillcolor="#FFFFFF [3201]" filled="t" stroked="t" coordsize="21600,21600" o:gfxdata="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wsMdcAAAAKAQAADwAAAAAA&#10;AAABACAAAAAiAAAAZHJzL2Rvd25yZXYueG1sUEsBAhQAFAAAAAgAh07iQDPzGUJNAgAAdwQAAA4A&#10;AAAAAAAAAQAgAAAAJgEAAGRycy9lMm9Eb2MueG1sUEsFBgAAAAAGAAYAWQEAAOUFAAAAAA==&#10;">
                <v:fill on="t" focussize="0,0"/>
                <v:stroke weight="0.5pt" color="#000000 [3204]" joinstyle="round"/>
                <v:imagedata o:title=""/>
                <o:lock v:ext="edit" aspectratio="f"/>
                <v:textbox>
                  <w:txbxContent>
                    <w:p>
                      <w:pPr>
                        <w:keepNext w:val="0"/>
                        <w:keepLines w:val="0"/>
                        <w:pageBreakBefore w:val="0"/>
                        <w:widowControl w:val="0"/>
                        <w:kinsoku/>
                        <w:wordWrap w:val="0"/>
                        <w:overflowPunct/>
                        <w:topLinePunct w:val="0"/>
                        <w:autoSpaceDE/>
                        <w:autoSpaceDN/>
                        <w:bidi w:val="0"/>
                        <w:adjustRightInd/>
                        <w:snapToGrid/>
                        <w:spacing w:line="120" w:lineRule="auto"/>
                        <w:ind w:right="0" w:rightChars="0" w:firstLine="0" w:firstLineChars="0"/>
                        <w:jc w:val="center"/>
                        <w:textAlignment w:val="auto"/>
                        <w:outlineLvl w:val="9"/>
                        <w:rPr>
                          <w:rFonts w:hint="eastAsia" w:ascii="仿宋_GB2312" w:hAnsi="仿宋" w:eastAsia="仿宋_GB2312" w:cs="仿宋"/>
                          <w:b w:val="0"/>
                          <w:bCs w:val="0"/>
                          <w:sz w:val="21"/>
                          <w:szCs w:val="21"/>
                          <w:lang w:val="en-US" w:eastAsia="zh-CN"/>
                        </w:rPr>
                      </w:pPr>
                      <w:r>
                        <w:rPr>
                          <w:rFonts w:hint="eastAsia" w:ascii="仿宋_GB2312" w:hAnsi="仿宋" w:eastAsia="仿宋_GB2312" w:cs="仿宋"/>
                          <w:b w:val="0"/>
                          <w:bCs w:val="0"/>
                          <w:i/>
                          <w:iCs/>
                          <w:sz w:val="21"/>
                          <w:szCs w:val="21"/>
                          <w:lang w:val="en-US" w:eastAsia="zh-CN"/>
                        </w:rPr>
                        <w:t>存入</w:t>
                      </w:r>
                      <w:r>
                        <w:rPr>
                          <w:rFonts w:hint="eastAsia" w:ascii="仿宋_GB2312" w:hAnsi="仿宋" w:eastAsia="仿宋_GB2312" w:cs="仿宋"/>
                          <w:b w:val="0"/>
                          <w:bCs w:val="0"/>
                          <w:sz w:val="21"/>
                          <w:szCs w:val="21"/>
                          <w:lang w:val="en-US" w:eastAsia="zh-CN"/>
                        </w:rPr>
                        <w:t>个人社保、住房公积金账户</w:t>
                      </w:r>
                    </w:p>
                    <w:p>
                      <w:pPr>
                        <w:keepNext w:val="0"/>
                        <w:keepLines w:val="0"/>
                        <w:pageBreakBefore w:val="0"/>
                        <w:widowControl w:val="0"/>
                        <w:kinsoku/>
                        <w:wordWrap w:val="0"/>
                        <w:overflowPunct/>
                        <w:topLinePunct w:val="0"/>
                        <w:autoSpaceDE/>
                        <w:autoSpaceDN/>
                        <w:bidi w:val="0"/>
                        <w:adjustRightInd/>
                        <w:snapToGrid/>
                        <w:spacing w:line="120" w:lineRule="auto"/>
                        <w:ind w:right="0" w:rightChars="0" w:firstLine="0" w:firstLineChars="0"/>
                        <w:jc w:val="both"/>
                        <w:textAlignment w:val="auto"/>
                        <w:outlineLvl w:val="9"/>
                        <w:rPr>
                          <w:rFonts w:hint="eastAsia" w:ascii="仿宋_GB2312" w:hAnsi="仿宋" w:eastAsia="仿宋_GB2312" w:cs="仿宋"/>
                          <w:b w:val="0"/>
                          <w:bCs w:val="0"/>
                          <w:sz w:val="21"/>
                          <w:szCs w:val="21"/>
                          <w:lang w:val="en-US" w:eastAsia="zh-CN"/>
                        </w:rPr>
                      </w:pPr>
                      <w:r>
                        <w:rPr>
                          <w:rFonts w:hint="eastAsia" w:ascii="仿宋_GB2312" w:hAnsi="仿宋" w:eastAsia="仿宋_GB2312" w:cs="仿宋"/>
                          <w:b w:val="0"/>
                          <w:bCs w:val="0"/>
                          <w:sz w:val="21"/>
                          <w:szCs w:val="21"/>
                          <w:lang w:val="en-US" w:eastAsia="zh-CN"/>
                        </w:rPr>
                        <w:t>（社保、住房公积金不得随意提取）</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5460" w:firstLineChars="2600"/>
                        <w:jc w:val="left"/>
                        <w:textAlignment w:val="auto"/>
                        <w:outlineLvl w:val="9"/>
                        <w:rPr>
                          <w:rFonts w:hint="eastAsia" w:ascii="仿宋_GB2312" w:hAnsi="仿宋" w:eastAsia="仿宋_GB2312" w:cs="仿宋"/>
                          <w:b w:val="0"/>
                          <w:bCs w:val="0"/>
                          <w:sz w:val="21"/>
                          <w:szCs w:val="21"/>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5460" w:firstLineChars="2600"/>
                        <w:jc w:val="left"/>
                        <w:textAlignment w:val="auto"/>
                        <w:outlineLvl w:val="9"/>
                        <w:rPr>
                          <w:rFonts w:hint="eastAsia" w:ascii="仿宋_GB2312" w:hAnsi="仿宋" w:eastAsia="仿宋_GB2312" w:cs="仿宋"/>
                          <w:b w:val="0"/>
                          <w:bCs w:val="0"/>
                          <w:sz w:val="21"/>
                          <w:szCs w:val="21"/>
                          <w:lang w:val="en-US" w:eastAsia="zh-CN"/>
                        </w:rPr>
                      </w:pPr>
                    </w:p>
                  </w:txbxContent>
                </v:textbox>
              </v:shape>
            </w:pict>
          </mc:Fallback>
        </mc:AlternateContent>
      </w:r>
      <w:r>
        <w:rPr>
          <w:rFonts w:hint="eastAsia" w:ascii="仿宋_GB2312" w:hAnsi="仿宋_GB2312" w:eastAsia="仿宋_GB2312" w:cs="仿宋_GB2312"/>
          <w:b/>
          <w:bCs/>
          <w:sz w:val="36"/>
          <w:szCs w:val="24"/>
        </w:rPr>
        <mc:AlternateContent>
          <mc:Choice Requires="wps">
            <w:drawing>
              <wp:anchor distT="0" distB="0" distL="114300" distR="114300" simplePos="0" relativeHeight="251663360" behindDoc="0" locked="0" layoutInCell="1" allowOverlap="1">
                <wp:simplePos x="0" y="0"/>
                <wp:positionH relativeFrom="column">
                  <wp:posOffset>3752215</wp:posOffset>
                </wp:positionH>
                <wp:positionV relativeFrom="paragraph">
                  <wp:posOffset>320040</wp:posOffset>
                </wp:positionV>
                <wp:extent cx="5080" cy="301625"/>
                <wp:effectExtent l="45720" t="0" r="63500" b="3175"/>
                <wp:wrapNone/>
                <wp:docPr id="3" name="直线 5"/>
                <wp:cNvGraphicFramePr/>
                <a:graphic xmlns:a="http://schemas.openxmlformats.org/drawingml/2006/main">
                  <a:graphicData uri="http://schemas.microsoft.com/office/word/2010/wordprocessingShape">
                    <wps:wsp>
                      <wps:cNvCnPr/>
                      <wps:spPr>
                        <a:xfrm>
                          <a:off x="0" y="0"/>
                          <a:ext cx="5080" cy="3016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 o:spid="_x0000_s1026" o:spt="20" style="position:absolute;left:0pt;margin-left:295.45pt;margin-top:25.2pt;height:23.75pt;width:0.4pt;z-index:251663360;mso-width-relative:page;mso-height-relative:page;" filled="f" stroked="t" coordsize="21600,21600" o:gfxdata="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8Na9S2gAAAAkBAAAPAAAAAAAAAAEA&#10;IAAAACIAAABkcnMvZG93bnJldi54bWxQSwECFAAUAAAACACHTuJAcxSkbdQBAACQAwAADgAAAAAA&#10;AAABACAAAAApAQAAZHJzL2Uyb0RvYy54bWxQSwUGAAAAAAYABgBZAQAAbwUAAAAA&#10;">
                <v:fill on="f" focussize="0,0"/>
                <v:stroke color="#000000" joinstyle="round" endarrow="open"/>
                <v:imagedata o:title=""/>
                <o:lock v:ext="edit" aspectratio="f"/>
              </v:line>
            </w:pict>
          </mc:Fallback>
        </mc:AlternateContent>
      </w:r>
      <w:r>
        <w:rPr>
          <w:rFonts w:hint="eastAsia" w:ascii="仿宋_GB2312" w:hAnsi="仿宋_GB2312" w:eastAsia="仿宋_GB2312" w:cs="仿宋_GB2312"/>
          <w:b/>
          <w:bCs/>
          <w:sz w:val="36"/>
          <w:szCs w:val="36"/>
          <w:lang w:eastAsia="zh-CN"/>
        </w:rPr>
        <w:t>月收入</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28"/>
          <w:szCs w:val="28"/>
          <w:u w:val="thick"/>
          <w:lang w:val="en-US" w:eastAsia="zh-CN"/>
        </w:rPr>
        <w:t>月实发工资</w:t>
      </w:r>
      <w:r>
        <w:rPr>
          <w:rFonts w:hint="eastAsia" w:ascii="仿宋_GB2312" w:hAnsi="仿宋_GB2312" w:eastAsia="仿宋_GB2312" w:cs="仿宋_GB2312"/>
          <w:b/>
          <w:bCs/>
          <w:sz w:val="44"/>
          <w:szCs w:val="44"/>
          <w:lang w:val="en-US" w:eastAsia="zh-CN"/>
        </w:rPr>
        <w:t>+</w:t>
      </w:r>
      <w:r>
        <w:rPr>
          <w:rFonts w:hint="eastAsia" w:ascii="仿宋_GB2312" w:hAnsi="仿宋_GB2312" w:eastAsia="仿宋_GB2312" w:cs="仿宋_GB2312"/>
          <w:b w:val="0"/>
          <w:bCs w:val="0"/>
          <w:sz w:val="28"/>
          <w:szCs w:val="28"/>
          <w:u w:val="single"/>
          <w:lang w:val="en-US" w:eastAsia="zh-CN"/>
        </w:rPr>
        <w:t>个人缴纳五险一金</w:t>
      </w:r>
      <w:r>
        <w:rPr>
          <w:rFonts w:hint="eastAsia" w:ascii="仿宋_GB2312" w:hAnsi="仿宋_GB2312" w:eastAsia="仿宋_GB2312" w:cs="仿宋_GB2312"/>
          <w:b/>
          <w:bCs/>
          <w:sz w:val="48"/>
          <w:szCs w:val="48"/>
          <w:u w:val="single"/>
          <w:lang w:val="en-US" w:eastAsia="zh-CN"/>
        </w:rPr>
        <w:t>+</w:t>
      </w:r>
      <w:r>
        <w:rPr>
          <w:rFonts w:hint="eastAsia" w:ascii="仿宋_GB2312" w:hAnsi="仿宋_GB2312" w:eastAsia="仿宋_GB2312" w:cs="仿宋_GB2312"/>
          <w:b w:val="0"/>
          <w:bCs w:val="0"/>
          <w:sz w:val="28"/>
          <w:szCs w:val="28"/>
          <w:u w:val="single"/>
          <w:lang w:val="en-US" w:eastAsia="zh-CN"/>
        </w:rPr>
        <w:t>财政补助五险一金</w:t>
      </w:r>
    </w:p>
    <w:tbl>
      <w:tblPr>
        <w:tblStyle w:val="6"/>
        <w:tblpPr w:leftFromText="180" w:rightFromText="180" w:vertAnchor="text" w:horzAnchor="page" w:tblpX="1442" w:tblpY="1334"/>
        <w:tblOverlap w:val="never"/>
        <w:tblW w:w="938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8"/>
        <w:gridCol w:w="612"/>
        <w:gridCol w:w="575"/>
        <w:gridCol w:w="613"/>
        <w:gridCol w:w="525"/>
        <w:gridCol w:w="500"/>
        <w:gridCol w:w="475"/>
        <w:gridCol w:w="398"/>
        <w:gridCol w:w="400"/>
        <w:gridCol w:w="575"/>
        <w:gridCol w:w="525"/>
        <w:gridCol w:w="550"/>
        <w:gridCol w:w="475"/>
        <w:gridCol w:w="400"/>
        <w:gridCol w:w="462"/>
        <w:gridCol w:w="503"/>
        <w:gridCol w:w="525"/>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8" w:hRule="atLeast"/>
          <w:jc w:val="center"/>
        </w:trPr>
        <w:tc>
          <w:tcPr>
            <w:tcW w:w="638" w:type="dxa"/>
            <w:vMerge w:val="restart"/>
            <w:tcBorders>
              <w:top w:val="single" w:color="000000" w:sz="4" w:space="0"/>
              <w:left w:val="single" w:color="auto"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sz w:val="15"/>
                <w:szCs w:val="15"/>
                <w:highlight w:val="none"/>
                <w:u w:val="none"/>
              </w:rPr>
            </w:pPr>
            <w:r>
              <w:rPr>
                <w:rFonts w:hint="eastAsia" w:ascii="仿宋" w:hAnsi="仿宋" w:eastAsia="仿宋" w:cs="仿宋"/>
                <w:b w:val="0"/>
                <w:bCs/>
                <w:i w:val="0"/>
                <w:color w:val="000000"/>
                <w:kern w:val="0"/>
                <w:sz w:val="15"/>
                <w:szCs w:val="15"/>
                <w:highlight w:val="none"/>
                <w:u w:val="none"/>
                <w:lang w:val="en-US" w:eastAsia="zh-CN" w:bidi="ar"/>
              </w:rPr>
              <w:t>学历</w:t>
            </w:r>
          </w:p>
        </w:tc>
        <w:tc>
          <w:tcPr>
            <w:tcW w:w="612" w:type="dxa"/>
            <w:vMerge w:val="restart"/>
            <w:tcBorders>
              <w:top w:val="single" w:color="000000" w:sz="4" w:space="0"/>
              <w:left w:val="single" w:color="000000" w:sz="4" w:space="0"/>
              <w:right w:val="single" w:color="auto" w:sz="4" w:space="0"/>
            </w:tcBorders>
            <w:shd w:val="clear" w:color="auto" w:fill="auto"/>
            <w:textDirection w:val="tbRlV"/>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月收入</w:t>
            </w:r>
          </w:p>
        </w:tc>
        <w:tc>
          <w:tcPr>
            <w:tcW w:w="575"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 w:hAnsi="仿宋" w:eastAsia="仿宋" w:cs="仿宋"/>
                <w:b w:val="0"/>
                <w:bCs/>
                <w:i w:val="0"/>
                <w:color w:val="000000"/>
                <w:sz w:val="15"/>
                <w:szCs w:val="15"/>
                <w:highlight w:val="none"/>
                <w:u w:val="none"/>
              </w:rPr>
            </w:pPr>
            <w:r>
              <w:rPr>
                <w:rFonts w:hint="eastAsia" w:ascii="仿宋" w:hAnsi="仿宋" w:eastAsia="仿宋" w:cs="仿宋"/>
                <w:b w:val="0"/>
                <w:bCs/>
                <w:i w:val="0"/>
                <w:color w:val="000000"/>
                <w:sz w:val="15"/>
                <w:szCs w:val="15"/>
                <w:highlight w:val="none"/>
                <w:u w:val="none"/>
                <w:lang w:eastAsia="zh-CN"/>
              </w:rPr>
              <w:t>月实发工资</w:t>
            </w:r>
          </w:p>
        </w:tc>
        <w:tc>
          <w:tcPr>
            <w:tcW w:w="291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个人缴纳五险一金项目</w:t>
            </w:r>
          </w:p>
        </w:tc>
        <w:tc>
          <w:tcPr>
            <w:tcW w:w="4015" w:type="dxa"/>
            <w:gridSpan w:val="8"/>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财政补助五险一金项目</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9" w:hRule="atLeast"/>
          <w:jc w:val="center"/>
        </w:trPr>
        <w:tc>
          <w:tcPr>
            <w:tcW w:w="638" w:type="dxa"/>
            <w:vMerge w:val="continue"/>
            <w:tcBorders>
              <w:top w:val="single" w:color="000000" w:sz="4" w:space="0"/>
              <w:left w:val="single" w:color="auto" w:sz="4" w:space="0"/>
              <w:bottom w:val="single" w:color="auto" w:sz="4" w:space="0"/>
              <w:right w:val="single" w:color="000000" w:sz="4" w:space="0"/>
            </w:tcBorders>
            <w:shd w:val="clear" w:color="auto" w:fill="auto"/>
            <w:textDirection w:val="tbRlV"/>
            <w:vAlign w:val="center"/>
          </w:tcPr>
          <w:p>
            <w:pPr>
              <w:keepNext w:val="0"/>
              <w:keepLines w:val="0"/>
              <w:pageBreakBefore w:val="0"/>
              <w:kinsoku/>
              <w:overflowPunct/>
              <w:topLinePunct w:val="0"/>
              <w:autoSpaceDE/>
              <w:autoSpaceDN/>
              <w:bidi w:val="0"/>
              <w:adjustRightInd/>
              <w:snapToGrid/>
              <w:spacing w:line="600" w:lineRule="exact"/>
              <w:jc w:val="center"/>
              <w:rPr>
                <w:rFonts w:hint="eastAsia" w:ascii="仿宋" w:hAnsi="仿宋" w:eastAsia="仿宋" w:cs="仿宋"/>
                <w:b w:val="0"/>
                <w:bCs/>
                <w:i w:val="0"/>
                <w:color w:val="000000"/>
                <w:sz w:val="15"/>
                <w:szCs w:val="15"/>
                <w:highlight w:val="none"/>
                <w:u w:val="none"/>
              </w:rPr>
            </w:pPr>
          </w:p>
        </w:tc>
        <w:tc>
          <w:tcPr>
            <w:tcW w:w="612" w:type="dxa"/>
            <w:vMerge w:val="continue"/>
            <w:tcBorders>
              <w:left w:val="single" w:color="000000" w:sz="4" w:space="0"/>
              <w:bottom w:val="single" w:color="auto" w:sz="4" w:space="0"/>
              <w:right w:val="single" w:color="auto"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113" w:leftChars="0" w:right="113" w:rightChars="0"/>
              <w:jc w:val="center"/>
              <w:textAlignment w:val="center"/>
              <w:outlineLvl w:val="9"/>
              <w:rPr>
                <w:rFonts w:hint="eastAsia" w:ascii="仿宋" w:hAnsi="仿宋" w:eastAsia="仿宋" w:cs="仿宋"/>
                <w:b w:val="0"/>
                <w:bCs/>
                <w:i w:val="0"/>
                <w:color w:val="000000"/>
                <w:sz w:val="15"/>
                <w:szCs w:val="15"/>
                <w:highlight w:val="none"/>
                <w:u w:val="none"/>
              </w:rPr>
            </w:pPr>
          </w:p>
        </w:tc>
        <w:tc>
          <w:tcPr>
            <w:tcW w:w="575" w:type="dxa"/>
            <w:vMerge w:val="continue"/>
            <w:tcBorders>
              <w:left w:val="single" w:color="000000" w:sz="4" w:space="0"/>
              <w:bottom w:val="single" w:color="auto" w:sz="4" w:space="0"/>
              <w:right w:val="single" w:color="auto"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 w:hAnsi="仿宋" w:eastAsia="仿宋" w:cs="仿宋"/>
                <w:b w:val="0"/>
                <w:bCs/>
                <w:i w:val="0"/>
                <w:color w:val="000000"/>
                <w:sz w:val="15"/>
                <w:szCs w:val="15"/>
                <w:highlight w:val="none"/>
                <w:u w:val="none"/>
              </w:rPr>
            </w:pPr>
          </w:p>
        </w:tc>
        <w:tc>
          <w:tcPr>
            <w:tcW w:w="613" w:type="dxa"/>
            <w:tcBorders>
              <w:top w:val="single" w:color="auto" w:sz="4" w:space="0"/>
              <w:left w:val="single" w:color="000000" w:sz="4" w:space="0"/>
              <w:bottom w:val="single" w:color="auto" w:sz="4" w:space="0"/>
              <w:right w:val="single" w:color="auto" w:sz="4" w:space="0"/>
            </w:tcBorders>
            <w:shd w:val="clear" w:color="auto" w:fill="auto"/>
            <w:textDirection w:val="tbLrV"/>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113" w:leftChars="0" w:right="113" w:rightChars="0"/>
              <w:jc w:val="center"/>
              <w:textAlignment w:val="center"/>
              <w:outlineLvl w:val="9"/>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个人扣款总额</w:t>
            </w:r>
          </w:p>
        </w:tc>
        <w:tc>
          <w:tcPr>
            <w:tcW w:w="525" w:type="dxa"/>
            <w:tcBorders>
              <w:top w:val="single" w:color="auto" w:sz="4" w:space="0"/>
              <w:left w:val="single" w:color="000000" w:sz="4" w:space="0"/>
              <w:bottom w:val="single" w:color="auto" w:sz="4" w:space="0"/>
              <w:right w:val="single" w:color="auto" w:sz="4" w:space="0"/>
            </w:tcBorders>
            <w:shd w:val="clear" w:color="auto" w:fill="auto"/>
            <w:textDirection w:val="tbLrV"/>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113" w:leftChars="0" w:right="113" w:rightChars="0"/>
              <w:jc w:val="center"/>
              <w:textAlignment w:val="center"/>
              <w:outlineLvl w:val="9"/>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养老保险</w:t>
            </w:r>
          </w:p>
        </w:tc>
        <w:tc>
          <w:tcPr>
            <w:tcW w:w="500" w:type="dxa"/>
            <w:tcBorders>
              <w:top w:val="single" w:color="auto" w:sz="4" w:space="0"/>
              <w:left w:val="single" w:color="000000" w:sz="4" w:space="0"/>
              <w:bottom w:val="single" w:color="auto" w:sz="4" w:space="0"/>
              <w:right w:val="single" w:color="auto" w:sz="4" w:space="0"/>
            </w:tcBorders>
            <w:shd w:val="clear" w:color="auto" w:fill="auto"/>
            <w:textDirection w:val="tbLrV"/>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113" w:leftChars="0" w:right="113" w:rightChars="0"/>
              <w:jc w:val="center"/>
              <w:textAlignment w:val="center"/>
              <w:outlineLvl w:val="9"/>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医疗保险费</w:t>
            </w:r>
          </w:p>
        </w:tc>
        <w:tc>
          <w:tcPr>
            <w:tcW w:w="475" w:type="dxa"/>
            <w:tcBorders>
              <w:top w:val="single" w:color="auto" w:sz="4" w:space="0"/>
              <w:left w:val="single" w:color="000000" w:sz="4" w:space="0"/>
              <w:bottom w:val="single" w:color="auto" w:sz="4" w:space="0"/>
              <w:right w:val="single" w:color="auto"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失业保险</w:t>
            </w:r>
          </w:p>
        </w:tc>
        <w:tc>
          <w:tcPr>
            <w:tcW w:w="398" w:type="dxa"/>
            <w:tcBorders>
              <w:top w:val="single" w:color="auto" w:sz="4" w:space="0"/>
              <w:left w:val="single" w:color="000000" w:sz="4" w:space="0"/>
              <w:bottom w:val="single" w:color="auto" w:sz="4" w:space="0"/>
              <w:right w:val="single" w:color="auto" w:sz="4" w:space="0"/>
            </w:tcBorders>
            <w:shd w:val="clear" w:color="auto" w:fill="auto"/>
            <w:textDirection w:val="tbLrV"/>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113" w:leftChars="0" w:right="113" w:rightChars="0"/>
              <w:jc w:val="center"/>
              <w:textAlignment w:val="center"/>
              <w:outlineLvl w:val="9"/>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大病医疗救助金</w:t>
            </w:r>
          </w:p>
        </w:tc>
        <w:tc>
          <w:tcPr>
            <w:tcW w:w="400" w:type="dxa"/>
            <w:tcBorders>
              <w:top w:val="single" w:color="auto" w:sz="4" w:space="0"/>
              <w:left w:val="single" w:color="000000" w:sz="4" w:space="0"/>
              <w:bottom w:val="single" w:color="auto" w:sz="4" w:space="0"/>
              <w:right w:val="single" w:color="auto"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住房公积金</w:t>
            </w:r>
          </w:p>
        </w:tc>
        <w:tc>
          <w:tcPr>
            <w:tcW w:w="575" w:type="dxa"/>
            <w:tcBorders>
              <w:left w:val="single" w:color="000000" w:sz="4" w:space="0"/>
              <w:bottom w:val="single" w:color="auto" w:sz="4" w:space="0"/>
              <w:right w:val="single" w:color="auto" w:sz="4" w:space="0"/>
            </w:tcBorders>
            <w:shd w:val="clear" w:color="auto" w:fill="auto"/>
            <w:textDirection w:val="tbLrV"/>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113" w:leftChars="0" w:right="113" w:rightChars="0"/>
              <w:jc w:val="center"/>
              <w:textAlignment w:val="center"/>
              <w:outlineLvl w:val="9"/>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sz w:val="15"/>
                <w:szCs w:val="15"/>
                <w:highlight w:val="none"/>
                <w:u w:val="none"/>
                <w:lang w:eastAsia="zh-CN"/>
              </w:rPr>
              <w:t>五险一金总额</w:t>
            </w:r>
          </w:p>
        </w:tc>
        <w:tc>
          <w:tcPr>
            <w:tcW w:w="525" w:type="dxa"/>
            <w:tcBorders>
              <w:left w:val="single" w:color="000000" w:sz="4" w:space="0"/>
              <w:bottom w:val="single" w:color="auto" w:sz="4" w:space="0"/>
              <w:right w:val="single" w:color="auto" w:sz="4" w:space="0"/>
            </w:tcBorders>
            <w:shd w:val="clear" w:color="auto" w:fill="auto"/>
            <w:textDirection w:val="tbLrV"/>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113" w:leftChars="0" w:right="113" w:rightChars="0"/>
              <w:jc w:val="center"/>
              <w:textAlignment w:val="center"/>
              <w:outlineLvl w:val="9"/>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sz w:val="15"/>
                <w:szCs w:val="15"/>
                <w:highlight w:val="none"/>
                <w:u w:val="none"/>
                <w:lang w:eastAsia="zh-CN"/>
              </w:rPr>
              <w:t>养老保险</w:t>
            </w:r>
          </w:p>
        </w:tc>
        <w:tc>
          <w:tcPr>
            <w:tcW w:w="550" w:type="dxa"/>
            <w:tcBorders>
              <w:left w:val="single" w:color="000000" w:sz="4" w:space="0"/>
              <w:bottom w:val="single" w:color="auto" w:sz="4" w:space="0"/>
              <w:right w:val="single" w:color="auto" w:sz="4" w:space="0"/>
            </w:tcBorders>
            <w:shd w:val="clear" w:color="auto" w:fill="auto"/>
            <w:textDirection w:val="tbLrV"/>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113" w:leftChars="0" w:right="113" w:rightChars="0"/>
              <w:jc w:val="center"/>
              <w:textAlignment w:val="center"/>
              <w:outlineLvl w:val="9"/>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医疗保险费</w:t>
            </w:r>
          </w:p>
        </w:tc>
        <w:tc>
          <w:tcPr>
            <w:tcW w:w="475" w:type="dxa"/>
            <w:tcBorders>
              <w:left w:val="single" w:color="000000" w:sz="4" w:space="0"/>
              <w:bottom w:val="single" w:color="auto" w:sz="4" w:space="0"/>
              <w:right w:val="single" w:color="auto"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失业保险</w:t>
            </w:r>
          </w:p>
        </w:tc>
        <w:tc>
          <w:tcPr>
            <w:tcW w:w="400" w:type="dxa"/>
            <w:tcBorders>
              <w:left w:val="single" w:color="000000" w:sz="4" w:space="0"/>
              <w:bottom w:val="single" w:color="auto" w:sz="4" w:space="0"/>
              <w:right w:val="single" w:color="auto"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工伤保险</w:t>
            </w:r>
          </w:p>
        </w:tc>
        <w:tc>
          <w:tcPr>
            <w:tcW w:w="462" w:type="dxa"/>
            <w:tcBorders>
              <w:left w:val="single" w:color="000000" w:sz="4" w:space="0"/>
              <w:bottom w:val="single" w:color="auto" w:sz="4" w:space="0"/>
              <w:right w:val="single" w:color="auto"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生育保险</w:t>
            </w:r>
          </w:p>
        </w:tc>
        <w:tc>
          <w:tcPr>
            <w:tcW w:w="503" w:type="dxa"/>
            <w:tcBorders>
              <w:left w:val="single" w:color="000000" w:sz="4" w:space="0"/>
              <w:bottom w:val="single" w:color="auto" w:sz="4" w:space="0"/>
              <w:right w:val="single" w:color="auto" w:sz="4" w:space="0"/>
            </w:tcBorders>
            <w:shd w:val="clear" w:color="auto" w:fill="auto"/>
            <w:textDirection w:val="tbLrV"/>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113" w:leftChars="0" w:right="113" w:rightChars="0"/>
              <w:jc w:val="center"/>
              <w:textAlignment w:val="center"/>
              <w:outlineLvl w:val="9"/>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大病医疗救助金</w:t>
            </w:r>
          </w:p>
        </w:tc>
        <w:tc>
          <w:tcPr>
            <w:tcW w:w="525" w:type="dxa"/>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住房公积金</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jc w:val="center"/>
        </w:trPr>
        <w:tc>
          <w:tcPr>
            <w:tcW w:w="63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sz w:val="15"/>
                <w:szCs w:val="15"/>
                <w:highlight w:val="none"/>
                <w:u w:val="none"/>
              </w:rPr>
            </w:pPr>
            <w:r>
              <w:rPr>
                <w:rFonts w:hint="eastAsia" w:ascii="仿宋" w:hAnsi="仿宋" w:eastAsia="仿宋" w:cs="仿宋"/>
                <w:b w:val="0"/>
                <w:bCs/>
                <w:i w:val="0"/>
                <w:color w:val="000000"/>
                <w:kern w:val="0"/>
                <w:sz w:val="15"/>
                <w:szCs w:val="15"/>
                <w:highlight w:val="none"/>
                <w:u w:val="none"/>
                <w:lang w:val="en-US" w:eastAsia="zh-CN" w:bidi="ar"/>
              </w:rPr>
              <w:t>研究生</w:t>
            </w:r>
          </w:p>
        </w:tc>
        <w:tc>
          <w:tcPr>
            <w:tcW w:w="612"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sz w:val="15"/>
                <w:szCs w:val="15"/>
                <w:highlight w:val="none"/>
                <w:u w:val="none"/>
                <w:lang w:val="en-US"/>
              </w:rPr>
            </w:pPr>
            <w:r>
              <w:rPr>
                <w:rFonts w:hint="eastAsia" w:ascii="仿宋" w:hAnsi="仿宋" w:eastAsia="仿宋" w:cs="仿宋"/>
                <w:b w:val="0"/>
                <w:bCs/>
                <w:i w:val="0"/>
                <w:color w:val="000000"/>
                <w:kern w:val="0"/>
                <w:sz w:val="15"/>
                <w:szCs w:val="15"/>
                <w:highlight w:val="none"/>
                <w:u w:val="none"/>
                <w:lang w:val="en-US" w:eastAsia="zh-CN" w:bidi="ar"/>
              </w:rPr>
              <w:t>7841.49</w:t>
            </w:r>
          </w:p>
        </w:tc>
        <w:tc>
          <w:tcPr>
            <w:tcW w:w="5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sz w:val="15"/>
                <w:szCs w:val="15"/>
                <w:highlight w:val="none"/>
                <w:u w:val="none"/>
                <w:lang w:val="en-US"/>
              </w:rPr>
            </w:pPr>
            <w:r>
              <w:rPr>
                <w:rFonts w:hint="eastAsia" w:ascii="仿宋" w:hAnsi="仿宋" w:eastAsia="仿宋" w:cs="仿宋"/>
                <w:b w:val="0"/>
                <w:bCs/>
                <w:i w:val="0"/>
                <w:color w:val="000000"/>
                <w:sz w:val="15"/>
                <w:szCs w:val="15"/>
                <w:highlight w:val="none"/>
                <w:u w:val="none"/>
                <w:lang w:val="en-US" w:eastAsia="zh-CN"/>
              </w:rPr>
              <w:t>4619.98</w:t>
            </w:r>
          </w:p>
        </w:tc>
        <w:tc>
          <w:tcPr>
            <w:tcW w:w="61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1198.02</w:t>
            </w:r>
          </w:p>
        </w:tc>
        <w:tc>
          <w:tcPr>
            <w:tcW w:w="5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395.44</w:t>
            </w:r>
          </w:p>
        </w:tc>
        <w:tc>
          <w:tcPr>
            <w:tcW w:w="5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98.86</w:t>
            </w:r>
          </w:p>
        </w:tc>
        <w:tc>
          <w:tcPr>
            <w:tcW w:w="4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24.72</w:t>
            </w:r>
          </w:p>
        </w:tc>
        <w:tc>
          <w:tcPr>
            <w:tcW w:w="39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10</w:t>
            </w:r>
          </w:p>
        </w:tc>
        <w:tc>
          <w:tcPr>
            <w:tcW w:w="4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669</w:t>
            </w:r>
          </w:p>
        </w:tc>
        <w:tc>
          <w:tcPr>
            <w:tcW w:w="5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sz w:val="15"/>
                <w:szCs w:val="15"/>
                <w:highlight w:val="none"/>
                <w:u w:val="none"/>
                <w:lang w:val="en-US" w:eastAsia="zh-CN"/>
              </w:rPr>
              <w:t>2023.49</w:t>
            </w:r>
          </w:p>
        </w:tc>
        <w:tc>
          <w:tcPr>
            <w:tcW w:w="5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939.17</w:t>
            </w:r>
          </w:p>
        </w:tc>
        <w:tc>
          <w:tcPr>
            <w:tcW w:w="5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346.01</w:t>
            </w:r>
          </w:p>
        </w:tc>
        <w:tc>
          <w:tcPr>
            <w:tcW w:w="4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24.72</w:t>
            </w:r>
          </w:p>
        </w:tc>
        <w:tc>
          <w:tcPr>
            <w:tcW w:w="4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9.87</w:t>
            </w:r>
          </w:p>
        </w:tc>
        <w:tc>
          <w:tcPr>
            <w:tcW w:w="46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24.72</w:t>
            </w:r>
          </w:p>
        </w:tc>
        <w:tc>
          <w:tcPr>
            <w:tcW w:w="50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10</w:t>
            </w:r>
          </w:p>
        </w:tc>
        <w:tc>
          <w:tcPr>
            <w:tcW w:w="5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669</w:t>
            </w:r>
          </w:p>
        </w:tc>
        <w:tc>
          <w:tcPr>
            <w:tcW w:w="6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sz w:val="15"/>
                <w:szCs w:val="15"/>
                <w:highlight w:val="none"/>
                <w:u w:val="none"/>
              </w:rPr>
            </w:pPr>
            <w:r>
              <w:rPr>
                <w:rFonts w:hint="eastAsia" w:ascii="仿宋" w:hAnsi="仿宋" w:eastAsia="仿宋" w:cs="仿宋"/>
                <w:b w:val="0"/>
                <w:bCs/>
                <w:i w:val="0"/>
                <w:color w:val="000000"/>
                <w:kern w:val="0"/>
                <w:sz w:val="15"/>
                <w:szCs w:val="15"/>
                <w:highlight w:val="none"/>
                <w:u w:val="none"/>
                <w:lang w:val="en-US" w:eastAsia="zh-CN" w:bidi="ar"/>
              </w:rPr>
              <w:t>本科</w:t>
            </w:r>
          </w:p>
        </w:tc>
        <w:tc>
          <w:tcPr>
            <w:tcW w:w="61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sz w:val="15"/>
                <w:szCs w:val="15"/>
                <w:highlight w:val="none"/>
                <w:u w:val="none"/>
                <w:lang w:val="en-US" w:eastAsia="zh-CN"/>
              </w:rPr>
            </w:pPr>
            <w:r>
              <w:rPr>
                <w:rFonts w:hint="eastAsia" w:ascii="仿宋" w:hAnsi="仿宋" w:eastAsia="仿宋" w:cs="仿宋"/>
                <w:b w:val="0"/>
                <w:bCs/>
                <w:i w:val="0"/>
                <w:color w:val="000000"/>
                <w:kern w:val="0"/>
                <w:sz w:val="15"/>
                <w:szCs w:val="15"/>
                <w:highlight w:val="none"/>
                <w:u w:val="none"/>
                <w:lang w:val="en-US" w:eastAsia="zh-CN" w:bidi="ar"/>
              </w:rPr>
              <w:t>7621.53</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sz w:val="15"/>
                <w:szCs w:val="15"/>
                <w:highlight w:val="none"/>
                <w:u w:val="none"/>
                <w:lang w:val="en-US" w:eastAsia="zh-CN"/>
              </w:rPr>
            </w:pPr>
            <w:r>
              <w:rPr>
                <w:rFonts w:hint="eastAsia" w:ascii="仿宋" w:hAnsi="仿宋" w:eastAsia="仿宋" w:cs="仿宋"/>
                <w:b w:val="0"/>
                <w:bCs/>
                <w:i w:val="0"/>
                <w:color w:val="000000"/>
                <w:sz w:val="15"/>
                <w:szCs w:val="15"/>
                <w:highlight w:val="none"/>
                <w:u w:val="none"/>
                <w:lang w:val="en-US" w:eastAsia="zh-CN"/>
              </w:rPr>
              <w:t>4497.57</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sz w:val="15"/>
                <w:szCs w:val="15"/>
                <w:highlight w:val="none"/>
                <w:u w:val="none"/>
                <w:lang w:val="en-US" w:eastAsia="zh-CN"/>
              </w:rPr>
              <w:t>1162.43</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sz w:val="15"/>
                <w:szCs w:val="15"/>
                <w:highlight w:val="none"/>
                <w:u w:val="none"/>
                <w:lang w:val="en-US" w:eastAsia="zh-CN"/>
              </w:rPr>
              <w:t>382.80</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sz w:val="15"/>
                <w:szCs w:val="15"/>
                <w:highlight w:val="none"/>
                <w:u w:val="none"/>
                <w:lang w:val="en-US" w:eastAsia="zh-CN"/>
              </w:rPr>
              <w:t>95.70</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sz w:val="15"/>
                <w:szCs w:val="15"/>
                <w:highlight w:val="none"/>
                <w:u w:val="none"/>
                <w:lang w:val="en-US" w:eastAsia="zh-CN"/>
              </w:rPr>
              <w:t>23.93</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sz w:val="15"/>
                <w:szCs w:val="15"/>
                <w:highlight w:val="none"/>
                <w:u w:val="none"/>
                <w:lang w:val="en-US" w:eastAsia="zh-CN"/>
              </w:rPr>
              <w:t>10</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sz w:val="15"/>
                <w:szCs w:val="15"/>
                <w:highlight w:val="none"/>
                <w:u w:val="none"/>
                <w:lang w:val="en-US" w:eastAsia="zh-CN"/>
              </w:rPr>
              <w:t>650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sz w:val="15"/>
                <w:szCs w:val="15"/>
                <w:highlight w:val="none"/>
                <w:u w:val="none"/>
                <w:lang w:val="en-US" w:eastAsia="zh-CN"/>
              </w:rPr>
              <w:t>1961.53</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909.15</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334.95</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23.93</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9.57</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23.93</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10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650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0" w:hRule="atLeast"/>
          <w:jc w:val="center"/>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sz w:val="15"/>
                <w:szCs w:val="15"/>
                <w:highlight w:val="none"/>
                <w:u w:val="none"/>
                <w:lang w:eastAsia="zh-CN"/>
              </w:rPr>
            </w:pPr>
            <w:r>
              <w:rPr>
                <w:rFonts w:hint="eastAsia" w:ascii="仿宋" w:hAnsi="仿宋" w:eastAsia="仿宋" w:cs="仿宋"/>
                <w:b w:val="0"/>
                <w:bCs/>
                <w:i w:val="0"/>
                <w:color w:val="000000"/>
                <w:sz w:val="15"/>
                <w:szCs w:val="15"/>
                <w:highlight w:val="none"/>
                <w:u w:val="none"/>
                <w:lang w:eastAsia="zh-CN"/>
              </w:rPr>
              <w:t>专科</w:t>
            </w:r>
          </w:p>
        </w:tc>
        <w:tc>
          <w:tcPr>
            <w:tcW w:w="61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sz w:val="15"/>
                <w:szCs w:val="15"/>
                <w:highlight w:val="none"/>
                <w:u w:val="none"/>
                <w:lang w:val="en-US" w:eastAsia="zh-CN"/>
              </w:rPr>
            </w:pPr>
            <w:r>
              <w:rPr>
                <w:rFonts w:hint="eastAsia" w:ascii="仿宋" w:hAnsi="仿宋" w:eastAsia="仿宋" w:cs="仿宋"/>
                <w:b w:val="0"/>
                <w:bCs/>
                <w:i w:val="0"/>
                <w:color w:val="000000"/>
                <w:sz w:val="15"/>
                <w:szCs w:val="15"/>
                <w:highlight w:val="none"/>
                <w:u w:val="none"/>
                <w:lang w:val="en-US" w:eastAsia="zh-CN"/>
              </w:rPr>
              <w:t>7269.23</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sz w:val="15"/>
                <w:szCs w:val="15"/>
                <w:highlight w:val="none"/>
                <w:u w:val="none"/>
                <w:lang w:val="en-US" w:eastAsia="zh-CN"/>
              </w:rPr>
            </w:pPr>
            <w:r>
              <w:rPr>
                <w:rFonts w:hint="eastAsia" w:ascii="仿宋" w:hAnsi="仿宋" w:eastAsia="仿宋" w:cs="仿宋"/>
                <w:b w:val="0"/>
                <w:bCs/>
                <w:i w:val="0"/>
                <w:color w:val="000000"/>
                <w:sz w:val="15"/>
                <w:szCs w:val="15"/>
                <w:highlight w:val="none"/>
                <w:u w:val="none"/>
                <w:lang w:val="en-US" w:eastAsia="zh-CN"/>
              </w:rPr>
              <w:t>4293.62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1107.38</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364.48</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91.12</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22.78</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10</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619</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1868.23</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865.64</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318.92</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22.78</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9.11</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22.78</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10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619</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0" w:hRule="atLeast"/>
          <w:jc w:val="center"/>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中专</w:t>
            </w:r>
          </w:p>
        </w:tc>
        <w:tc>
          <w:tcPr>
            <w:tcW w:w="61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7154.93</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4230.23</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1088.77</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357.92</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89.48</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22.37</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10</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609</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1835.93</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85.06</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313.18</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22.37</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8.95</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22.37</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10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r>
              <w:rPr>
                <w:rFonts w:hint="eastAsia" w:ascii="仿宋" w:hAnsi="仿宋" w:eastAsia="仿宋" w:cs="仿宋"/>
                <w:b w:val="0"/>
                <w:bCs/>
                <w:i w:val="0"/>
                <w:color w:val="000000"/>
                <w:kern w:val="0"/>
                <w:sz w:val="15"/>
                <w:szCs w:val="15"/>
                <w:highlight w:val="none"/>
                <w:u w:val="none"/>
                <w:lang w:val="en-US" w:eastAsia="zh-CN" w:bidi="ar"/>
              </w:rPr>
              <w:t>609</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center"/>
              <w:rPr>
                <w:rFonts w:hint="eastAsia" w:ascii="仿宋" w:hAnsi="仿宋" w:eastAsia="仿宋" w:cs="仿宋"/>
                <w:b w:val="0"/>
                <w:bCs/>
                <w:i w:val="0"/>
                <w:color w:val="000000"/>
                <w:kern w:val="0"/>
                <w:sz w:val="15"/>
                <w:szCs w:val="15"/>
                <w:highlight w:val="none"/>
                <w:u w:val="none"/>
                <w:lang w:val="en-US" w:eastAsia="zh-CN" w:bidi="ar"/>
              </w:rPr>
            </w:pPr>
          </w:p>
        </w:tc>
      </w:tr>
    </w:tbl>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600" w:lineRule="exact"/>
        <w:ind w:right="0" w:rightChars="0"/>
        <w:textAlignment w:val="auto"/>
        <w:outlineLvl w:val="9"/>
        <w:rPr>
          <w:rFonts w:hint="eastAsia" w:ascii="仿宋" w:hAnsi="仿宋" w:eastAsia="仿宋" w:cs="仿宋"/>
          <w:b/>
          <w:bCs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val="0"/>
          <w:sz w:val="32"/>
          <w:szCs w:val="32"/>
          <w:lang w:val="en-US" w:eastAsia="zh-CN"/>
        </w:rPr>
        <w:t>（二）基层补贴：</w:t>
      </w:r>
      <w:r>
        <w:rPr>
          <w:rFonts w:hint="eastAsia" w:ascii="仿宋_GB2312" w:hAnsi="仿宋_GB2312" w:eastAsia="仿宋_GB2312" w:cs="仿宋_GB2312"/>
          <w:sz w:val="32"/>
          <w:szCs w:val="32"/>
          <w:lang w:eastAsia="zh-CN"/>
        </w:rPr>
        <w:t>工作在乌什镇学校的教师无乡村补助；选择在乡镇工作的教师，根据乡镇类别，还可以享受乡村教师补贴，如工作在（阿克托海乡、奥特贝希乡、前进镇、亚曼苏乡、亚科瑞克乡、阿恰塔格乡）学校的教师每月补助500元；工作在（阿合雅镇、英阿瓦提乡）学校的教师每月补助</w:t>
      </w:r>
      <w:r>
        <w:rPr>
          <w:rFonts w:hint="eastAsia" w:ascii="仿宋_GB2312" w:hAnsi="仿宋_GB2312" w:eastAsia="仿宋_GB2312" w:cs="仿宋_GB2312"/>
          <w:sz w:val="32"/>
          <w:szCs w:val="32"/>
          <w:lang w:val="en-US" w:eastAsia="zh-CN"/>
        </w:rPr>
        <w:t>600</w:t>
      </w:r>
      <w:r>
        <w:rPr>
          <w:rFonts w:hint="eastAsia" w:ascii="仿宋_GB2312" w:hAnsi="仿宋_GB2312" w:eastAsia="仿宋_GB2312" w:cs="仿宋_GB2312"/>
          <w:sz w:val="32"/>
          <w:szCs w:val="32"/>
          <w:lang w:eastAsia="zh-CN"/>
        </w:rPr>
        <w:t>元。</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val="0"/>
          <w:sz w:val="32"/>
          <w:szCs w:val="32"/>
          <w:lang w:val="en-US" w:eastAsia="zh-CN"/>
        </w:rPr>
        <w:t>（三）路费报销：</w:t>
      </w:r>
      <w:r>
        <w:rPr>
          <w:rFonts w:hint="eastAsia" w:ascii="仿宋_GB2312" w:hAnsi="仿宋_GB2312" w:eastAsia="仿宋_GB2312" w:cs="仿宋_GB2312"/>
          <w:sz w:val="32"/>
          <w:szCs w:val="32"/>
          <w:lang w:eastAsia="zh-CN"/>
        </w:rPr>
        <w:t>新招录教师签约到岗后，可报销来疆工作的车票（单趟，</w:t>
      </w:r>
      <w:r>
        <w:rPr>
          <w:rFonts w:hint="eastAsia" w:ascii="仿宋_GB2312" w:hAnsi="仿宋_GB2312" w:eastAsia="仿宋_GB2312" w:cs="仿宋_GB2312"/>
          <w:sz w:val="32"/>
          <w:szCs w:val="32"/>
          <w:lang w:val="en-US" w:eastAsia="zh-CN"/>
        </w:rPr>
        <w:t>乘车工具不限统一按照火车硬卧标准报销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，请务必保存好实名制票据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val="0"/>
          <w:sz w:val="32"/>
          <w:szCs w:val="32"/>
          <w:lang w:val="en-US" w:eastAsia="zh-CN"/>
        </w:rPr>
        <w:t>（四）年度取暖费补贴：</w:t>
      </w:r>
      <w:r>
        <w:rPr>
          <w:rFonts w:hint="eastAsia" w:ascii="仿宋_GB2312" w:hAnsi="仿宋_GB2312" w:eastAsia="仿宋_GB2312" w:cs="仿宋_GB2312"/>
          <w:sz w:val="32"/>
          <w:szCs w:val="32"/>
          <w:lang w:eastAsia="zh-CN"/>
        </w:rPr>
        <w:t>工作满</w:t>
      </w:r>
      <w:r>
        <w:rPr>
          <w:rFonts w:hint="eastAsia" w:ascii="仿宋_GB2312" w:hAnsi="仿宋_GB2312" w:eastAsia="仿宋_GB2312" w:cs="仿宋_GB2312"/>
          <w:sz w:val="32"/>
          <w:szCs w:val="32"/>
          <w:lang w:val="en-US" w:eastAsia="zh-CN"/>
        </w:rPr>
        <w:t>1年，</w:t>
      </w:r>
      <w:r>
        <w:rPr>
          <w:rFonts w:hint="eastAsia" w:ascii="仿宋_GB2312" w:hAnsi="仿宋_GB2312" w:eastAsia="仿宋_GB2312" w:cs="仿宋_GB2312"/>
          <w:sz w:val="32"/>
          <w:szCs w:val="32"/>
          <w:lang w:eastAsia="zh-CN"/>
        </w:rPr>
        <w:t>每年冬季发放取暖费</w:t>
      </w:r>
      <w:r>
        <w:rPr>
          <w:rFonts w:hint="eastAsia" w:ascii="仿宋_GB2312" w:hAnsi="仿宋_GB2312" w:eastAsia="仿宋_GB2312" w:cs="仿宋_GB2312"/>
          <w:sz w:val="32"/>
          <w:szCs w:val="32"/>
          <w:lang w:val="en-US" w:eastAsia="zh-CN"/>
        </w:rPr>
        <w:t>1300元。</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5"/>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我县招聘活动全程不收取毕业生任何费用。</w:t>
      </w:r>
    </w:p>
    <w:p>
      <w:pPr>
        <w:keepNext w:val="0"/>
        <w:keepLines w:val="0"/>
        <w:pageBreakBefore w:val="0"/>
        <w:widowControl w:val="0"/>
        <w:numPr>
          <w:ilvl w:val="0"/>
          <w:numId w:val="1"/>
        </w:numPr>
        <w:kinsoku/>
        <w:wordWrap w:val="0"/>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内地应往届大专</w:t>
      </w:r>
      <w:r>
        <w:rPr>
          <w:rFonts w:hint="eastAsia" w:ascii="黑体" w:hAnsi="黑体" w:eastAsia="黑体" w:cs="黑体"/>
          <w:b w:val="0"/>
          <w:bCs w:val="0"/>
          <w:sz w:val="32"/>
          <w:szCs w:val="32"/>
          <w:lang w:eastAsia="zh-CN"/>
        </w:rPr>
        <w:t>及以上</w:t>
      </w:r>
      <w:r>
        <w:rPr>
          <w:rFonts w:hint="eastAsia" w:ascii="黑体" w:hAnsi="黑体" w:eastAsia="黑体" w:cs="黑体"/>
          <w:b w:val="0"/>
          <w:bCs w:val="0"/>
          <w:sz w:val="32"/>
          <w:szCs w:val="32"/>
        </w:rPr>
        <w:t>院校毕业生均可报名参加</w:t>
      </w:r>
      <w:r>
        <w:rPr>
          <w:rFonts w:hint="eastAsia" w:ascii="黑体" w:hAnsi="黑体" w:eastAsia="黑体" w:cs="黑体"/>
          <w:b w:val="0"/>
          <w:bCs w:val="0"/>
          <w:sz w:val="32"/>
          <w:szCs w:val="32"/>
          <w:lang w:eastAsia="zh-CN"/>
        </w:rPr>
        <w:t>。</w:t>
      </w:r>
    </w:p>
    <w:p>
      <w:pPr>
        <w:keepNext w:val="0"/>
        <w:keepLines w:val="0"/>
        <w:pageBreakBefore w:val="0"/>
        <w:widowControl w:val="0"/>
        <w:numPr>
          <w:ilvl w:val="0"/>
          <w:numId w:val="1"/>
        </w:numPr>
        <w:kinsoku/>
        <w:wordWrap w:val="0"/>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赴内地教师招聘工作组联系方式</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贾老师：15569223338</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董老师：18130965603</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马老师：15769390912</w:t>
      </w:r>
      <w:bookmarkStart w:id="0" w:name="_GoBack"/>
      <w:bookmarkEnd w:id="0"/>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八</w:t>
      </w:r>
      <w:r>
        <w:rPr>
          <w:rFonts w:hint="eastAsia" w:ascii="黑体" w:hAnsi="黑体" w:eastAsia="黑体" w:cs="黑体"/>
          <w:b w:val="0"/>
          <w:bCs/>
          <w:sz w:val="32"/>
          <w:szCs w:val="32"/>
          <w:lang w:eastAsia="zh-CN"/>
        </w:rPr>
        <w:t>、档案邮递地址：</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新疆维吾尔自治区乌什县教育和科技局人事股</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1280" w:firstLineChars="400"/>
        <w:textAlignment w:val="auto"/>
        <w:outlineLvl w:val="9"/>
        <w:rPr>
          <w:rFonts w:hint="eastAsia" w:ascii="仿宋" w:hAnsi="仿宋" w:eastAsia="仿宋" w:cs="仿宋"/>
          <w:sz w:val="32"/>
          <w:szCs w:val="32"/>
        </w:rPr>
      </w:pPr>
      <w:r>
        <w:rPr>
          <w:rFonts w:hint="eastAsia" w:ascii="仿宋" w:hAnsi="仿宋" w:eastAsia="仿宋" w:cs="仿宋"/>
          <w:sz w:val="32"/>
          <w:szCs w:val="32"/>
        </w:rPr>
        <w:t>邮编：84340</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未尽事宜请咨询</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乌什县教育和科技局师资、人事股</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联系电话：0997-5324975</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联系人：高老师</w:t>
      </w:r>
    </w:p>
    <w:p>
      <w:pPr>
        <w:keepNext w:val="0"/>
        <w:keepLines w:val="0"/>
        <w:pageBreakBefore w:val="0"/>
        <w:widowControl w:val="0"/>
        <w:kinsoku/>
        <w:wordWrap w:val="0"/>
        <w:overflowPunct/>
        <w:topLinePunct w:val="0"/>
        <w:autoSpaceDE/>
        <w:autoSpaceDN/>
        <w:bidi w:val="0"/>
        <w:adjustRightInd/>
        <w:snapToGrid/>
        <w:spacing w:line="600" w:lineRule="exact"/>
        <w:ind w:right="0" w:rightChars="0"/>
        <w:textAlignment w:val="auto"/>
        <w:outlineLvl w:val="9"/>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800" w:firstLineChars="150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乌什县教育和科技局</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3日</w:t>
      </w:r>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m&#10;Hnyw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5AC36E"/>
    <w:multiLevelType w:val="singleLevel"/>
    <w:tmpl w:val="D25AC36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49BA"/>
    <w:rsid w:val="00150CC3"/>
    <w:rsid w:val="00172A27"/>
    <w:rsid w:val="002A2CCD"/>
    <w:rsid w:val="0034624D"/>
    <w:rsid w:val="00490211"/>
    <w:rsid w:val="00571594"/>
    <w:rsid w:val="00675D40"/>
    <w:rsid w:val="00711BE1"/>
    <w:rsid w:val="007D622E"/>
    <w:rsid w:val="00EF66A3"/>
    <w:rsid w:val="02006EF9"/>
    <w:rsid w:val="020A3CBB"/>
    <w:rsid w:val="021458FC"/>
    <w:rsid w:val="02280B18"/>
    <w:rsid w:val="026F0F9D"/>
    <w:rsid w:val="02EB1B98"/>
    <w:rsid w:val="032469DD"/>
    <w:rsid w:val="05A73431"/>
    <w:rsid w:val="067178AB"/>
    <w:rsid w:val="06C95A50"/>
    <w:rsid w:val="08442CA7"/>
    <w:rsid w:val="087334F7"/>
    <w:rsid w:val="0899238A"/>
    <w:rsid w:val="08AA6421"/>
    <w:rsid w:val="08E45656"/>
    <w:rsid w:val="093C49CC"/>
    <w:rsid w:val="09465030"/>
    <w:rsid w:val="0A731719"/>
    <w:rsid w:val="0B1133F5"/>
    <w:rsid w:val="0BD0764F"/>
    <w:rsid w:val="0CC313C9"/>
    <w:rsid w:val="0DAB26D7"/>
    <w:rsid w:val="0F8E41E6"/>
    <w:rsid w:val="0F9B092C"/>
    <w:rsid w:val="0FB9092B"/>
    <w:rsid w:val="10B47C33"/>
    <w:rsid w:val="116E0183"/>
    <w:rsid w:val="11E57512"/>
    <w:rsid w:val="11FB6EFD"/>
    <w:rsid w:val="13D33224"/>
    <w:rsid w:val="14DA4905"/>
    <w:rsid w:val="15193369"/>
    <w:rsid w:val="157F124B"/>
    <w:rsid w:val="15E713EF"/>
    <w:rsid w:val="16381770"/>
    <w:rsid w:val="16827EF2"/>
    <w:rsid w:val="16C21C32"/>
    <w:rsid w:val="17095123"/>
    <w:rsid w:val="17474B80"/>
    <w:rsid w:val="17F25ECD"/>
    <w:rsid w:val="18365465"/>
    <w:rsid w:val="18B623E4"/>
    <w:rsid w:val="19760DFB"/>
    <w:rsid w:val="19EB3FA8"/>
    <w:rsid w:val="1A496C58"/>
    <w:rsid w:val="1D222E7B"/>
    <w:rsid w:val="1E6B2538"/>
    <w:rsid w:val="1FB00447"/>
    <w:rsid w:val="1FE61BEB"/>
    <w:rsid w:val="205F16D0"/>
    <w:rsid w:val="20752B67"/>
    <w:rsid w:val="20CF3AEB"/>
    <w:rsid w:val="215B240E"/>
    <w:rsid w:val="21722C7C"/>
    <w:rsid w:val="21D3071C"/>
    <w:rsid w:val="22833624"/>
    <w:rsid w:val="22EE6045"/>
    <w:rsid w:val="245B3C7C"/>
    <w:rsid w:val="247E07A0"/>
    <w:rsid w:val="24B954DB"/>
    <w:rsid w:val="24FB38D3"/>
    <w:rsid w:val="25613DDE"/>
    <w:rsid w:val="26B24327"/>
    <w:rsid w:val="26EE3964"/>
    <w:rsid w:val="276F074E"/>
    <w:rsid w:val="27A5354E"/>
    <w:rsid w:val="2807393C"/>
    <w:rsid w:val="2873686D"/>
    <w:rsid w:val="28C94516"/>
    <w:rsid w:val="29753CC8"/>
    <w:rsid w:val="2A4A242D"/>
    <w:rsid w:val="2AB37F8F"/>
    <w:rsid w:val="2AE27C7A"/>
    <w:rsid w:val="2EF719EF"/>
    <w:rsid w:val="2F72703E"/>
    <w:rsid w:val="306C1879"/>
    <w:rsid w:val="30A24CF9"/>
    <w:rsid w:val="30C93000"/>
    <w:rsid w:val="319A36F3"/>
    <w:rsid w:val="332A56FF"/>
    <w:rsid w:val="33EC0ED3"/>
    <w:rsid w:val="34A85BE6"/>
    <w:rsid w:val="35585D9F"/>
    <w:rsid w:val="36370FD8"/>
    <w:rsid w:val="367A5306"/>
    <w:rsid w:val="383657BA"/>
    <w:rsid w:val="399C5A0E"/>
    <w:rsid w:val="39E145C0"/>
    <w:rsid w:val="3A515BE3"/>
    <w:rsid w:val="3C0515F0"/>
    <w:rsid w:val="3C715107"/>
    <w:rsid w:val="3C9E0A9B"/>
    <w:rsid w:val="3CB30C8A"/>
    <w:rsid w:val="3E85747B"/>
    <w:rsid w:val="3EA12A15"/>
    <w:rsid w:val="3EA212F0"/>
    <w:rsid w:val="3EC525FD"/>
    <w:rsid w:val="3EE74986"/>
    <w:rsid w:val="408C1586"/>
    <w:rsid w:val="40C51898"/>
    <w:rsid w:val="42E6621B"/>
    <w:rsid w:val="44751099"/>
    <w:rsid w:val="45252430"/>
    <w:rsid w:val="452D1CBC"/>
    <w:rsid w:val="478001F1"/>
    <w:rsid w:val="481A4F81"/>
    <w:rsid w:val="481E6A92"/>
    <w:rsid w:val="4858784D"/>
    <w:rsid w:val="49354C8A"/>
    <w:rsid w:val="493F61E2"/>
    <w:rsid w:val="4A52467A"/>
    <w:rsid w:val="4CFF65E5"/>
    <w:rsid w:val="4E43635C"/>
    <w:rsid w:val="4E692ECC"/>
    <w:rsid w:val="4E7120CA"/>
    <w:rsid w:val="4EA76F15"/>
    <w:rsid w:val="4F273583"/>
    <w:rsid w:val="4F331962"/>
    <w:rsid w:val="5089011A"/>
    <w:rsid w:val="51706C0E"/>
    <w:rsid w:val="51762D38"/>
    <w:rsid w:val="518760BF"/>
    <w:rsid w:val="51A2415D"/>
    <w:rsid w:val="532561CA"/>
    <w:rsid w:val="54763F86"/>
    <w:rsid w:val="54BD2ADE"/>
    <w:rsid w:val="599D2B94"/>
    <w:rsid w:val="5A295660"/>
    <w:rsid w:val="5B171E6C"/>
    <w:rsid w:val="5C5A22B2"/>
    <w:rsid w:val="5C801E93"/>
    <w:rsid w:val="5CC7446D"/>
    <w:rsid w:val="5D343A59"/>
    <w:rsid w:val="5D5E6B52"/>
    <w:rsid w:val="5E817F89"/>
    <w:rsid w:val="5F860541"/>
    <w:rsid w:val="61180470"/>
    <w:rsid w:val="63131C20"/>
    <w:rsid w:val="63401856"/>
    <w:rsid w:val="6383285C"/>
    <w:rsid w:val="63CA5F16"/>
    <w:rsid w:val="63E56B14"/>
    <w:rsid w:val="63FA72F6"/>
    <w:rsid w:val="658C793D"/>
    <w:rsid w:val="65941438"/>
    <w:rsid w:val="659D3FAA"/>
    <w:rsid w:val="682632B7"/>
    <w:rsid w:val="685C7509"/>
    <w:rsid w:val="68DF5357"/>
    <w:rsid w:val="69220249"/>
    <w:rsid w:val="6A324322"/>
    <w:rsid w:val="6AB711A9"/>
    <w:rsid w:val="6B455088"/>
    <w:rsid w:val="6B4832D4"/>
    <w:rsid w:val="6BE43ACC"/>
    <w:rsid w:val="6C19003A"/>
    <w:rsid w:val="6CFB1A9E"/>
    <w:rsid w:val="6D1E67E1"/>
    <w:rsid w:val="6E29262E"/>
    <w:rsid w:val="6E3645A2"/>
    <w:rsid w:val="6E4A1422"/>
    <w:rsid w:val="704E1D35"/>
    <w:rsid w:val="728622A7"/>
    <w:rsid w:val="72D929E2"/>
    <w:rsid w:val="73683A0F"/>
    <w:rsid w:val="748E567B"/>
    <w:rsid w:val="74943D2B"/>
    <w:rsid w:val="74A03EAF"/>
    <w:rsid w:val="75457099"/>
    <w:rsid w:val="756952BB"/>
    <w:rsid w:val="75B30AB7"/>
    <w:rsid w:val="76B57797"/>
    <w:rsid w:val="779610FC"/>
    <w:rsid w:val="788F25EC"/>
    <w:rsid w:val="7896649F"/>
    <w:rsid w:val="79031172"/>
    <w:rsid w:val="79097F55"/>
    <w:rsid w:val="790B55E5"/>
    <w:rsid w:val="794C220A"/>
    <w:rsid w:val="795136F9"/>
    <w:rsid w:val="799800D2"/>
    <w:rsid w:val="7AAA4E7B"/>
    <w:rsid w:val="7B6202ED"/>
    <w:rsid w:val="7B7C0D26"/>
    <w:rsid w:val="7BAF66A0"/>
    <w:rsid w:val="7C465B09"/>
    <w:rsid w:val="7D5947A7"/>
    <w:rsid w:val="7E885B7E"/>
    <w:rsid w:val="7E8C281B"/>
    <w:rsid w:val="7EC9113A"/>
    <w:rsid w:val="7FBC3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批注框文本 Char"/>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WSX.EDU</Company>
  <Pages>4</Pages>
  <Words>245</Words>
  <Characters>1398</Characters>
  <Lines>11</Lines>
  <Paragraphs>3</Paragraphs>
  <TotalTime>20</TotalTime>
  <ScaleCrop>false</ScaleCrop>
  <LinksUpToDate>false</LinksUpToDate>
  <CharactersWithSpaces>1640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2017-10-13T19:06:00Z</dcterms:created>
  <dc:creator>GWL</dc:creator>
  <cp:lastModifiedBy>华</cp:lastModifiedBy>
  <cp:lastPrinted>2018-10-19T09:44:00Z</cp:lastPrinted>
  <dcterms:modified xsi:type="dcterms:W3CDTF">2019-12-09T11:27:47Z</dcterms:modified>
  <dc:title>乌什县2017年赴内地高校招聘学前幼儿</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